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71A6E">
      <w:pPr>
        <w:jc w:val="center"/>
        <w:rPr>
          <w:rFonts w:hint="eastAsia" w:ascii="黑体" w:hAnsi="Times New Roman" w:eastAsia="黑体" w:cs="Times New Roman"/>
          <w:b/>
          <w:sz w:val="48"/>
          <w:szCs w:val="48"/>
          <w:highlight w:val="none"/>
        </w:rPr>
      </w:pPr>
      <w:r>
        <w:rPr>
          <w:rFonts w:hint="eastAsia" w:ascii="黑体" w:hAnsi="Times New Roman" w:eastAsia="黑体" w:cs="Times New Roman"/>
          <w:b/>
          <w:sz w:val="48"/>
          <w:szCs w:val="48"/>
          <w:highlight w:val="none"/>
          <w:lang w:val="en-US" w:eastAsia="zh-CN"/>
        </w:rPr>
        <w:t>珠</w:t>
      </w:r>
      <w:r>
        <w:rPr>
          <w:rFonts w:hint="eastAsia" w:ascii="黑体" w:hAnsi="Times New Roman" w:eastAsia="黑体" w:cs="Times New Roman"/>
          <w:b/>
          <w:sz w:val="48"/>
          <w:szCs w:val="48"/>
          <w:highlight w:val="none"/>
        </w:rPr>
        <w:t>海建工控股集团有限公司</w:t>
      </w:r>
    </w:p>
    <w:p w14:paraId="21995464">
      <w:pPr>
        <w:jc w:val="center"/>
        <w:rPr>
          <w:rFonts w:hint="eastAsia" w:ascii="黑体" w:hAnsi="Times New Roman" w:eastAsia="黑体" w:cs="Times New Roman"/>
          <w:b/>
          <w:sz w:val="48"/>
          <w:szCs w:val="48"/>
          <w:highlight w:val="none"/>
        </w:rPr>
      </w:pPr>
      <w:r>
        <w:rPr>
          <w:rFonts w:hint="eastAsia" w:ascii="黑体" w:hAnsi="Times New Roman" w:eastAsia="黑体" w:cs="Times New Roman"/>
          <w:b/>
          <w:sz w:val="48"/>
          <w:szCs w:val="48"/>
          <w:highlight w:val="none"/>
          <w:lang w:val="en-US" w:eastAsia="zh-CN"/>
        </w:rPr>
        <w:t>安保</w:t>
      </w:r>
      <w:r>
        <w:rPr>
          <w:rFonts w:hint="eastAsia" w:ascii="黑体" w:hAnsi="Times New Roman" w:eastAsia="黑体" w:cs="Times New Roman"/>
          <w:b/>
          <w:sz w:val="48"/>
          <w:szCs w:val="48"/>
          <w:highlight w:val="none"/>
        </w:rPr>
        <w:t>服务合同</w:t>
      </w:r>
    </w:p>
    <w:p w14:paraId="2A9E0D35">
      <w:pPr>
        <w:spacing w:line="380" w:lineRule="exact"/>
        <w:rPr>
          <w:rFonts w:hint="eastAsia" w:ascii="宋体" w:hAnsi="宋体"/>
          <w:color w:val="000000"/>
          <w:kern w:val="0"/>
          <w:sz w:val="24"/>
          <w:highlight w:val="none"/>
        </w:rPr>
      </w:pPr>
    </w:p>
    <w:p w14:paraId="655949B3">
      <w:pPr>
        <w:spacing w:line="380" w:lineRule="exact"/>
        <w:ind w:firstLine="5760" w:firstLineChars="2400"/>
        <w:rPr>
          <w:rFonts w:hint="eastAsia" w:ascii="仿宋_GB2312" w:eastAsia="仿宋_GB2312"/>
          <w:sz w:val="24"/>
          <w:szCs w:val="24"/>
          <w:highlight w:val="none"/>
        </w:rPr>
      </w:pPr>
      <w:r>
        <w:rPr>
          <w:rFonts w:hint="eastAsia" w:ascii="仿宋_GB2312" w:eastAsia="仿宋_GB2312"/>
          <w:sz w:val="24"/>
          <w:szCs w:val="24"/>
          <w:highlight w:val="none"/>
        </w:rPr>
        <w:t>合同编号：</w:t>
      </w:r>
    </w:p>
    <w:p w14:paraId="5337F30A">
      <w:pPr>
        <w:spacing w:line="380" w:lineRule="exact"/>
        <w:ind w:firstLine="5760" w:firstLineChars="2400"/>
        <w:rPr>
          <w:rFonts w:hint="eastAsia" w:ascii="仿宋_GB2312" w:eastAsia="仿宋_GB2312"/>
          <w:sz w:val="24"/>
          <w:szCs w:val="24"/>
          <w:highlight w:val="none"/>
        </w:rPr>
      </w:pPr>
    </w:p>
    <w:p w14:paraId="120446D5">
      <w:pPr>
        <w:rPr>
          <w:rFonts w:hint="eastAsia" w:ascii="黑体" w:hAnsi="宋体" w:eastAsia="黑体"/>
          <w:color w:val="000000"/>
          <w:sz w:val="30"/>
          <w:szCs w:val="30"/>
          <w:highlight w:val="none"/>
          <w:lang w:val="en-US" w:eastAsia="zh-CN"/>
        </w:rPr>
      </w:pPr>
      <w:r>
        <w:rPr>
          <w:rFonts w:hint="eastAsia" w:ascii="黑体" w:hAnsi="宋体" w:eastAsia="黑体"/>
          <w:color w:val="000000"/>
          <w:sz w:val="30"/>
          <w:szCs w:val="30"/>
          <w:highlight w:val="none"/>
        </w:rPr>
        <w:t>甲方：珠海建工控股集团有限公司</w:t>
      </w:r>
    </w:p>
    <w:p w14:paraId="2BCA6168">
      <w:pPr>
        <w:rPr>
          <w:rFonts w:hint="eastAsia" w:ascii="黑体" w:hAnsi="宋体" w:eastAsia="黑体"/>
          <w:color w:val="000000"/>
          <w:sz w:val="30"/>
          <w:szCs w:val="30"/>
          <w:highlight w:val="yellow"/>
        </w:rPr>
      </w:pPr>
      <w:r>
        <w:rPr>
          <w:rFonts w:hint="eastAsia" w:ascii="黑体" w:hAnsi="宋体" w:eastAsia="黑体"/>
          <w:color w:val="000000"/>
          <w:sz w:val="30"/>
          <w:szCs w:val="30"/>
          <w:highlight w:val="yellow"/>
        </w:rPr>
        <w:t>联系人：                      电话：</w:t>
      </w:r>
    </w:p>
    <w:p w14:paraId="4EAEC502">
      <w:pPr>
        <w:rPr>
          <w:rFonts w:hint="eastAsia" w:ascii="黑体" w:hAnsi="宋体" w:eastAsia="黑体"/>
          <w:color w:val="000000"/>
          <w:sz w:val="30"/>
          <w:szCs w:val="30"/>
          <w:highlight w:val="yellow"/>
        </w:rPr>
      </w:pPr>
      <w:r>
        <w:rPr>
          <w:rFonts w:hint="eastAsia" w:ascii="黑体" w:hAnsi="宋体" w:eastAsia="黑体"/>
          <w:color w:val="000000"/>
          <w:sz w:val="30"/>
          <w:szCs w:val="30"/>
          <w:highlight w:val="yellow"/>
        </w:rPr>
        <w:t>地址：</w:t>
      </w:r>
    </w:p>
    <w:p w14:paraId="4992D9D0">
      <w:pPr>
        <w:rPr>
          <w:rFonts w:hint="eastAsia" w:ascii="黑体" w:hAnsi="宋体" w:eastAsia="黑体"/>
          <w:color w:val="000000"/>
          <w:sz w:val="30"/>
          <w:szCs w:val="30"/>
          <w:highlight w:val="none"/>
          <w:lang w:val="en-US" w:eastAsia="zh-CN"/>
        </w:rPr>
      </w:pPr>
      <w:r>
        <w:rPr>
          <w:rFonts w:hint="eastAsia" w:ascii="黑体" w:hAnsi="宋体" w:eastAsia="黑体"/>
          <w:color w:val="000000"/>
          <w:sz w:val="30"/>
          <w:szCs w:val="30"/>
          <w:highlight w:val="none"/>
        </w:rPr>
        <w:t>乙方：</w:t>
      </w:r>
      <w:r>
        <w:rPr>
          <w:rFonts w:hint="eastAsia" w:ascii="黑体" w:hAnsi="宋体" w:eastAsia="黑体"/>
          <w:color w:val="000000"/>
          <w:sz w:val="30"/>
          <w:szCs w:val="30"/>
          <w:highlight w:val="none"/>
          <w:lang w:val="en-US" w:eastAsia="zh-CN"/>
        </w:rPr>
        <w:t xml:space="preserve"> </w:t>
      </w:r>
    </w:p>
    <w:p w14:paraId="3B38089E">
      <w:pPr>
        <w:rPr>
          <w:rFonts w:hint="eastAsia" w:ascii="黑体" w:hAnsi="宋体" w:eastAsia="黑体"/>
          <w:color w:val="000000"/>
          <w:sz w:val="30"/>
          <w:szCs w:val="30"/>
          <w:highlight w:val="none"/>
        </w:rPr>
      </w:pPr>
      <w:r>
        <w:rPr>
          <w:rFonts w:hint="eastAsia" w:ascii="黑体" w:hAnsi="宋体" w:eastAsia="黑体"/>
          <w:color w:val="000000"/>
          <w:sz w:val="30"/>
          <w:szCs w:val="30"/>
          <w:highlight w:val="none"/>
        </w:rPr>
        <w:t>联系人：</w:t>
      </w:r>
      <w:r>
        <w:rPr>
          <w:rFonts w:hint="eastAsia" w:ascii="黑体" w:hAnsi="宋体" w:eastAsia="黑体"/>
          <w:color w:val="000000"/>
          <w:sz w:val="30"/>
          <w:szCs w:val="30"/>
          <w:highlight w:val="none"/>
          <w:lang w:val="en-US" w:eastAsia="zh-CN"/>
        </w:rPr>
        <w:t xml:space="preserve"> </w:t>
      </w:r>
      <w:r>
        <w:rPr>
          <w:rFonts w:hint="eastAsia" w:ascii="黑体" w:hAnsi="宋体" w:eastAsia="黑体"/>
          <w:color w:val="000000"/>
          <w:sz w:val="30"/>
          <w:szCs w:val="30"/>
          <w:highlight w:val="none"/>
        </w:rPr>
        <w:t xml:space="preserve">                电话：</w:t>
      </w:r>
    </w:p>
    <w:p w14:paraId="1ACD1702">
      <w:pPr>
        <w:rPr>
          <w:rFonts w:hint="eastAsia" w:ascii="黑体" w:hAnsi="宋体" w:eastAsia="黑体"/>
          <w:color w:val="000000"/>
          <w:sz w:val="30"/>
          <w:szCs w:val="30"/>
          <w:highlight w:val="none"/>
          <w:lang w:val="en-US" w:eastAsia="zh-CN"/>
        </w:rPr>
      </w:pPr>
      <w:r>
        <w:rPr>
          <w:rFonts w:hint="eastAsia" w:ascii="黑体" w:hAnsi="宋体" w:eastAsia="黑体"/>
          <w:color w:val="000000"/>
          <w:sz w:val="30"/>
          <w:szCs w:val="30"/>
          <w:highlight w:val="none"/>
        </w:rPr>
        <w:t>地址：</w:t>
      </w:r>
      <w:r>
        <w:rPr>
          <w:rFonts w:hint="eastAsia" w:ascii="黑体" w:hAnsi="宋体" w:eastAsia="黑体"/>
          <w:color w:val="000000"/>
          <w:sz w:val="30"/>
          <w:szCs w:val="30"/>
          <w:highlight w:val="none"/>
          <w:lang w:val="en-US" w:eastAsia="zh-CN"/>
        </w:rPr>
        <w:t xml:space="preserve"> </w:t>
      </w:r>
    </w:p>
    <w:p w14:paraId="075D21C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000000"/>
          <w:sz w:val="32"/>
          <w:szCs w:val="32"/>
          <w:highlight w:val="none"/>
        </w:rPr>
      </w:pPr>
    </w:p>
    <w:p w14:paraId="0ED762E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sz w:val="32"/>
          <w:szCs w:val="32"/>
          <w:highlight w:val="none"/>
          <w:lang w:val="en-US" w:eastAsia="zh-CN"/>
        </w:rPr>
      </w:pPr>
      <w:r>
        <w:rPr>
          <w:rFonts w:hint="eastAsia" w:ascii="仿宋_GB2312" w:hAnsi="宋体" w:eastAsia="仿宋_GB2312"/>
          <w:sz w:val="32"/>
          <w:szCs w:val="32"/>
          <w:highlight w:val="none"/>
        </w:rPr>
        <w:t>为了加强甲方企业内部安全防范和保卫工作，维护企业治安稳定和正常的生产、办公秩序，甲、乙双方本着诚实信用、平等互利的原则，依据《中华人民共和国</w:t>
      </w:r>
      <w:r>
        <w:rPr>
          <w:rFonts w:hint="eastAsia" w:ascii="仿宋_GB2312" w:hAnsi="宋体" w:eastAsia="仿宋_GB2312"/>
          <w:sz w:val="32"/>
          <w:szCs w:val="32"/>
          <w:highlight w:val="none"/>
          <w:lang w:val="en-US" w:eastAsia="zh-CN"/>
        </w:rPr>
        <w:t>民法典</w:t>
      </w:r>
      <w:r>
        <w:rPr>
          <w:rFonts w:hint="eastAsia" w:ascii="仿宋_GB2312" w:hAnsi="宋体" w:eastAsia="仿宋_GB2312"/>
          <w:sz w:val="32"/>
          <w:szCs w:val="32"/>
          <w:highlight w:val="none"/>
        </w:rPr>
        <w:t>》以及国家相关法律法规</w:t>
      </w:r>
      <w:r>
        <w:rPr>
          <w:rFonts w:hint="eastAsia" w:ascii="仿宋_GB2312" w:hAnsi="宋体" w:eastAsia="仿宋_GB2312"/>
          <w:sz w:val="32"/>
          <w:szCs w:val="32"/>
          <w:highlight w:val="none"/>
          <w:lang w:val="en-US" w:eastAsia="zh-CN"/>
        </w:rPr>
        <w:t>规定</w:t>
      </w:r>
      <w:r>
        <w:rPr>
          <w:rFonts w:hint="eastAsia" w:ascii="仿宋_GB2312" w:hAnsi="宋体" w:eastAsia="仿宋_GB2312"/>
          <w:sz w:val="32"/>
          <w:szCs w:val="32"/>
          <w:highlight w:val="none"/>
        </w:rPr>
        <w:t>，经双方友好协商</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就甲方聘用乙方</w:t>
      </w:r>
      <w:r>
        <w:rPr>
          <w:rFonts w:hint="eastAsia" w:ascii="仿宋_GB2312" w:hAnsi="宋体" w:eastAsia="仿宋_GB2312"/>
          <w:sz w:val="32"/>
          <w:szCs w:val="32"/>
          <w:highlight w:val="none"/>
          <w:lang w:val="en-US" w:eastAsia="zh-CN"/>
        </w:rPr>
        <w:t>提供安全保卫服务</w:t>
      </w:r>
      <w:r>
        <w:rPr>
          <w:rFonts w:hint="eastAsia" w:ascii="仿宋_GB2312" w:hAnsi="宋体" w:eastAsia="仿宋_GB2312"/>
          <w:sz w:val="32"/>
          <w:szCs w:val="32"/>
          <w:highlight w:val="none"/>
        </w:rPr>
        <w:t>事宜达成一致意见，特订立本合同，以资信守</w:t>
      </w:r>
      <w:r>
        <w:rPr>
          <w:rFonts w:hint="eastAsia" w:ascii="仿宋_GB2312" w:hAnsi="宋体" w:eastAsia="仿宋_GB2312"/>
          <w:sz w:val="32"/>
          <w:szCs w:val="32"/>
          <w:highlight w:val="none"/>
          <w:lang w:eastAsia="zh-CN"/>
        </w:rPr>
        <w:t>。</w:t>
      </w:r>
    </w:p>
    <w:p w14:paraId="01E460F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color w:val="000000"/>
          <w:kern w:val="0"/>
          <w:sz w:val="32"/>
          <w:szCs w:val="28"/>
          <w:highlight w:val="none"/>
        </w:rPr>
      </w:pPr>
      <w:r>
        <w:rPr>
          <w:rFonts w:hint="eastAsia" w:ascii="仿宋" w:hAnsi="仿宋" w:eastAsia="仿宋" w:cs="仿宋"/>
          <w:b/>
          <w:bCs/>
          <w:color w:val="000000"/>
          <w:kern w:val="0"/>
          <w:sz w:val="32"/>
          <w:szCs w:val="28"/>
          <w:highlight w:val="none"/>
        </w:rPr>
        <w:t>一、服务项目及内容</w:t>
      </w:r>
    </w:p>
    <w:p w14:paraId="0C0F6A1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仿宋_GB2312" w:eastAsia="仿宋_GB2312"/>
          <w:color w:val="000000"/>
          <w:kern w:val="0"/>
          <w:sz w:val="32"/>
          <w:szCs w:val="28"/>
          <w:highlight w:val="none"/>
        </w:rPr>
        <w:t>（一）乙方派出</w:t>
      </w:r>
      <w:r>
        <w:rPr>
          <w:rFonts w:hint="eastAsia" w:ascii="仿宋_GB2312" w:hAnsi="仿宋_GB2312" w:eastAsia="仿宋_GB2312"/>
          <w:color w:val="000000"/>
          <w:kern w:val="0"/>
          <w:sz w:val="32"/>
          <w:szCs w:val="28"/>
          <w:highlight w:val="none"/>
          <w:lang w:val="en-US" w:eastAsia="zh-CN"/>
        </w:rPr>
        <w:t>保安员为</w:t>
      </w:r>
      <w:r>
        <w:rPr>
          <w:rFonts w:hint="eastAsia" w:ascii="仿宋_GB2312" w:hAnsi="仿宋_GB2312" w:eastAsia="仿宋_GB2312"/>
          <w:color w:val="000000"/>
          <w:kern w:val="0"/>
          <w:sz w:val="32"/>
          <w:szCs w:val="28"/>
          <w:highlight w:val="none"/>
        </w:rPr>
        <w:t>甲方提供</w:t>
      </w:r>
      <w:r>
        <w:rPr>
          <w:rFonts w:hint="eastAsia" w:ascii="仿宋_GB2312" w:hAnsi="宋体" w:eastAsia="仿宋_GB2312"/>
          <w:sz w:val="32"/>
          <w:szCs w:val="32"/>
          <w:highlight w:val="none"/>
        </w:rPr>
        <w:t>安全保卫服务</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主要负责日常接待及应急维稳工作，</w:t>
      </w:r>
      <w:r>
        <w:rPr>
          <w:rFonts w:hint="eastAsia" w:ascii="仿宋_GB2312" w:hAnsi="宋体" w:eastAsia="仿宋_GB2312"/>
          <w:sz w:val="32"/>
          <w:szCs w:val="32"/>
          <w:highlight w:val="none"/>
        </w:rPr>
        <w:t xml:space="preserve">具体人员需求和服务费信息如下： </w:t>
      </w:r>
    </w:p>
    <w:tbl>
      <w:tblPr>
        <w:tblStyle w:val="5"/>
        <w:tblW w:w="9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1315"/>
        <w:gridCol w:w="1369"/>
        <w:gridCol w:w="1646"/>
        <w:gridCol w:w="2028"/>
        <w:gridCol w:w="1590"/>
      </w:tblGrid>
      <w:tr w14:paraId="1F02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589" w:type="dxa"/>
            <w:noWrap w:val="0"/>
            <w:vAlign w:val="top"/>
          </w:tcPr>
          <w:p w14:paraId="6619CEB9">
            <w:pPr>
              <w:jc w:val="center"/>
              <w:rPr>
                <w:rFonts w:hint="eastAsia" w:ascii="仿宋_GB2312" w:hAnsi="宋体" w:eastAsia="仿宋_GB2312"/>
                <w:b/>
                <w:bCs/>
                <w:kern w:val="2"/>
                <w:sz w:val="28"/>
                <w:szCs w:val="28"/>
                <w:highlight w:val="none"/>
                <w:vertAlign w:val="baseline"/>
                <w:lang w:val="en-US" w:eastAsia="zh-CN" w:bidi="ar-SA"/>
              </w:rPr>
            </w:pPr>
            <w:r>
              <w:rPr>
                <w:rFonts w:hint="eastAsia" w:ascii="仿宋_GB2312" w:hAnsi="宋体" w:eastAsia="仿宋_GB2312"/>
                <w:b/>
                <w:bCs/>
                <w:sz w:val="28"/>
                <w:szCs w:val="28"/>
                <w:highlight w:val="none"/>
                <w:vertAlign w:val="baseline"/>
                <w:lang w:val="en-US" w:eastAsia="zh-CN"/>
              </w:rPr>
              <w:t>序号</w:t>
            </w:r>
          </w:p>
        </w:tc>
        <w:tc>
          <w:tcPr>
            <w:tcW w:w="1315" w:type="dxa"/>
            <w:noWrap w:val="0"/>
            <w:vAlign w:val="top"/>
          </w:tcPr>
          <w:p w14:paraId="201B1428">
            <w:pPr>
              <w:jc w:val="center"/>
              <w:rPr>
                <w:rFonts w:hint="eastAsia" w:ascii="仿宋_GB2312" w:hAnsi="宋体" w:eastAsia="仿宋_GB2312"/>
                <w:b/>
                <w:bCs/>
                <w:kern w:val="2"/>
                <w:sz w:val="28"/>
                <w:szCs w:val="28"/>
                <w:highlight w:val="none"/>
                <w:vertAlign w:val="baseline"/>
                <w:lang w:val="en-US" w:eastAsia="zh-CN" w:bidi="ar-SA"/>
              </w:rPr>
            </w:pPr>
            <w:r>
              <w:rPr>
                <w:rFonts w:hint="eastAsia" w:ascii="仿宋_GB2312" w:hAnsi="宋体" w:eastAsia="仿宋_GB2312"/>
                <w:b/>
                <w:bCs/>
                <w:sz w:val="28"/>
                <w:szCs w:val="28"/>
                <w:highlight w:val="none"/>
                <w:vertAlign w:val="baseline"/>
                <w:lang w:val="en-US" w:eastAsia="zh-CN"/>
              </w:rPr>
              <w:t>名称</w:t>
            </w:r>
          </w:p>
        </w:tc>
        <w:tc>
          <w:tcPr>
            <w:tcW w:w="1369" w:type="dxa"/>
            <w:noWrap w:val="0"/>
            <w:vAlign w:val="top"/>
          </w:tcPr>
          <w:p w14:paraId="2FCCD4B4">
            <w:pPr>
              <w:spacing w:line="560" w:lineRule="exact"/>
              <w:jc w:val="center"/>
              <w:rPr>
                <w:rFonts w:hint="eastAsia" w:ascii="仿宋" w:hAnsi="仿宋" w:eastAsia="仿宋"/>
                <w:b/>
                <w:bCs/>
                <w:color w:val="000000"/>
                <w:kern w:val="0"/>
                <w:sz w:val="28"/>
                <w:szCs w:val="28"/>
                <w:highlight w:val="none"/>
                <w:vertAlign w:val="baseline"/>
                <w:lang w:val="en-US" w:eastAsia="zh-CN" w:bidi="ar-SA"/>
              </w:rPr>
            </w:pPr>
            <w:r>
              <w:rPr>
                <w:rFonts w:hint="eastAsia" w:ascii="仿宋" w:hAnsi="仿宋" w:eastAsia="仿宋"/>
                <w:b/>
                <w:bCs/>
                <w:color w:val="000000"/>
                <w:kern w:val="0"/>
                <w:sz w:val="28"/>
                <w:szCs w:val="28"/>
                <w:highlight w:val="none"/>
                <w:vertAlign w:val="baseline"/>
                <w:lang w:val="en-US" w:eastAsia="zh-CN"/>
              </w:rPr>
              <w:t>时间</w:t>
            </w:r>
          </w:p>
        </w:tc>
        <w:tc>
          <w:tcPr>
            <w:tcW w:w="1646" w:type="dxa"/>
            <w:noWrap w:val="0"/>
            <w:vAlign w:val="top"/>
          </w:tcPr>
          <w:p w14:paraId="5D4EFD7B">
            <w:pPr>
              <w:spacing w:line="560" w:lineRule="exact"/>
              <w:jc w:val="center"/>
              <w:rPr>
                <w:rFonts w:hint="eastAsia" w:ascii="仿宋" w:hAnsi="仿宋" w:eastAsia="仿宋"/>
                <w:b/>
                <w:bCs/>
                <w:color w:val="000000"/>
                <w:kern w:val="0"/>
                <w:sz w:val="28"/>
                <w:szCs w:val="28"/>
                <w:highlight w:val="none"/>
                <w:vertAlign w:val="baseline"/>
                <w:lang w:val="en-US" w:eastAsia="zh-CN" w:bidi="ar-SA"/>
              </w:rPr>
            </w:pPr>
            <w:r>
              <w:rPr>
                <w:rFonts w:hint="eastAsia" w:ascii="仿宋" w:hAnsi="仿宋" w:eastAsia="仿宋"/>
                <w:b/>
                <w:bCs/>
                <w:color w:val="000000"/>
                <w:kern w:val="0"/>
                <w:sz w:val="28"/>
                <w:szCs w:val="28"/>
                <w:highlight w:val="none"/>
                <w:vertAlign w:val="baseline"/>
                <w:lang w:val="en-US" w:eastAsia="zh-CN"/>
              </w:rPr>
              <w:t>数量</w:t>
            </w:r>
            <w:r>
              <w:rPr>
                <w:rFonts w:hint="eastAsia" w:ascii="仿宋" w:hAnsi="仿宋" w:eastAsia="仿宋"/>
                <w:b w:val="0"/>
                <w:bCs w:val="0"/>
                <w:color w:val="000000"/>
                <w:kern w:val="0"/>
                <w:sz w:val="21"/>
                <w:szCs w:val="21"/>
                <w:highlight w:val="none"/>
                <w:vertAlign w:val="baseline"/>
                <w:lang w:val="en-US" w:eastAsia="zh-CN"/>
              </w:rPr>
              <w:t>（人）</w:t>
            </w:r>
          </w:p>
        </w:tc>
        <w:tc>
          <w:tcPr>
            <w:tcW w:w="2028" w:type="dxa"/>
            <w:noWrap w:val="0"/>
            <w:vAlign w:val="top"/>
          </w:tcPr>
          <w:p w14:paraId="6E6CD493">
            <w:pPr>
              <w:spacing w:line="360" w:lineRule="exact"/>
              <w:jc w:val="center"/>
              <w:rPr>
                <w:rFonts w:hint="eastAsia" w:ascii="仿宋" w:hAnsi="仿宋" w:eastAsia="仿宋"/>
                <w:b/>
                <w:bCs/>
                <w:color w:val="000000"/>
                <w:kern w:val="0"/>
                <w:sz w:val="28"/>
                <w:szCs w:val="28"/>
                <w:highlight w:val="none"/>
                <w:vertAlign w:val="baseline"/>
                <w:lang w:val="en-US" w:eastAsia="zh-CN"/>
              </w:rPr>
            </w:pPr>
            <w:r>
              <w:rPr>
                <w:rFonts w:hint="eastAsia" w:ascii="仿宋" w:hAnsi="仿宋" w:eastAsia="仿宋"/>
                <w:b/>
                <w:bCs/>
                <w:color w:val="000000"/>
                <w:kern w:val="0"/>
                <w:sz w:val="28"/>
                <w:szCs w:val="28"/>
                <w:highlight w:val="none"/>
                <w:vertAlign w:val="baseline"/>
                <w:lang w:val="en-US" w:eastAsia="zh-CN"/>
              </w:rPr>
              <w:t>含税单价</w:t>
            </w:r>
          </w:p>
          <w:p w14:paraId="7A3DBCAD">
            <w:pPr>
              <w:spacing w:line="360" w:lineRule="exact"/>
              <w:jc w:val="center"/>
              <w:rPr>
                <w:rFonts w:hint="eastAsia" w:ascii="仿宋" w:hAnsi="仿宋" w:eastAsia="仿宋"/>
                <w:b/>
                <w:bCs/>
                <w:color w:val="000000"/>
                <w:kern w:val="0"/>
                <w:sz w:val="28"/>
                <w:szCs w:val="28"/>
                <w:highlight w:val="none"/>
                <w:vertAlign w:val="baseline"/>
                <w:lang w:val="en-US" w:eastAsia="zh-CN" w:bidi="ar-SA"/>
              </w:rPr>
            </w:pPr>
            <w:r>
              <w:rPr>
                <w:rFonts w:hint="eastAsia" w:ascii="仿宋" w:hAnsi="仿宋" w:eastAsia="仿宋"/>
                <w:b w:val="0"/>
                <w:bCs w:val="0"/>
                <w:color w:val="000000"/>
                <w:kern w:val="0"/>
                <w:sz w:val="21"/>
                <w:szCs w:val="21"/>
                <w:highlight w:val="none"/>
                <w:vertAlign w:val="baseline"/>
                <w:lang w:val="en-US" w:eastAsia="zh-CN"/>
              </w:rPr>
              <w:t>（元/人/月）</w:t>
            </w:r>
          </w:p>
        </w:tc>
        <w:tc>
          <w:tcPr>
            <w:tcW w:w="1590" w:type="dxa"/>
            <w:noWrap w:val="0"/>
            <w:vAlign w:val="top"/>
          </w:tcPr>
          <w:p w14:paraId="47D3D1E0">
            <w:pPr>
              <w:spacing w:line="560" w:lineRule="exact"/>
              <w:jc w:val="center"/>
              <w:rPr>
                <w:rFonts w:hint="eastAsia" w:ascii="仿宋" w:hAnsi="仿宋" w:eastAsia="仿宋"/>
                <w:b/>
                <w:bCs/>
                <w:color w:val="000000"/>
                <w:kern w:val="0"/>
                <w:sz w:val="28"/>
                <w:szCs w:val="28"/>
                <w:highlight w:val="none"/>
                <w:vertAlign w:val="baseline"/>
                <w:lang w:val="en-US" w:eastAsia="zh-CN" w:bidi="ar-SA"/>
              </w:rPr>
            </w:pPr>
            <w:r>
              <w:rPr>
                <w:rFonts w:hint="eastAsia" w:ascii="仿宋" w:hAnsi="仿宋" w:eastAsia="仿宋"/>
                <w:b/>
                <w:bCs/>
                <w:color w:val="000000"/>
                <w:kern w:val="0"/>
                <w:sz w:val="28"/>
                <w:szCs w:val="28"/>
                <w:highlight w:val="none"/>
                <w:vertAlign w:val="baseline"/>
                <w:lang w:val="en-US" w:eastAsia="zh-CN"/>
              </w:rPr>
              <w:t>含税总价</w:t>
            </w:r>
          </w:p>
        </w:tc>
      </w:tr>
      <w:tr w14:paraId="2A18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9" w:type="dxa"/>
            <w:noWrap w:val="0"/>
            <w:vAlign w:val="top"/>
          </w:tcPr>
          <w:p w14:paraId="5CA6528F">
            <w:pPr>
              <w:jc w:val="center"/>
              <w:rPr>
                <w:rFonts w:hint="eastAsia" w:ascii="仿宋_GB2312" w:hAnsi="宋体" w:eastAsia="仿宋_GB2312"/>
                <w:kern w:val="2"/>
                <w:sz w:val="28"/>
                <w:szCs w:val="28"/>
                <w:highlight w:val="none"/>
                <w:vertAlign w:val="baseline"/>
                <w:lang w:val="en-US" w:eastAsia="zh-CN" w:bidi="ar-SA"/>
              </w:rPr>
            </w:pPr>
            <w:r>
              <w:rPr>
                <w:rFonts w:hint="eastAsia" w:ascii="仿宋_GB2312" w:hAnsi="宋体" w:eastAsia="仿宋_GB2312"/>
                <w:sz w:val="28"/>
                <w:szCs w:val="28"/>
                <w:highlight w:val="none"/>
                <w:vertAlign w:val="baseline"/>
                <w:lang w:val="en-US" w:eastAsia="zh-CN"/>
              </w:rPr>
              <w:t>1</w:t>
            </w:r>
          </w:p>
        </w:tc>
        <w:tc>
          <w:tcPr>
            <w:tcW w:w="1315" w:type="dxa"/>
            <w:noWrap w:val="0"/>
            <w:vAlign w:val="top"/>
          </w:tcPr>
          <w:p w14:paraId="1B96C51A">
            <w:pPr>
              <w:jc w:val="center"/>
              <w:rPr>
                <w:rFonts w:hint="eastAsia" w:ascii="仿宋_GB2312" w:hAnsi="宋体" w:eastAsia="仿宋_GB2312" w:cs="Times New Roman"/>
                <w:sz w:val="28"/>
                <w:szCs w:val="28"/>
                <w:highlight w:val="none"/>
                <w:vertAlign w:val="baseline"/>
                <w:lang w:val="en-US" w:eastAsia="zh-CN"/>
              </w:rPr>
            </w:pPr>
            <w:r>
              <w:rPr>
                <w:rFonts w:hint="eastAsia" w:ascii="仿宋_GB2312" w:hAnsi="宋体" w:eastAsia="仿宋_GB2312" w:cs="Times New Roman"/>
                <w:sz w:val="28"/>
                <w:szCs w:val="28"/>
                <w:highlight w:val="none"/>
                <w:vertAlign w:val="baseline"/>
                <w:lang w:val="en-US" w:eastAsia="zh-CN"/>
              </w:rPr>
              <w:t>保安员</w:t>
            </w:r>
          </w:p>
        </w:tc>
        <w:tc>
          <w:tcPr>
            <w:tcW w:w="1369" w:type="dxa"/>
            <w:noWrap w:val="0"/>
            <w:vAlign w:val="top"/>
          </w:tcPr>
          <w:p w14:paraId="17E2691A">
            <w:pPr>
              <w:jc w:val="center"/>
              <w:rPr>
                <w:rFonts w:hint="eastAsia" w:ascii="仿宋_GB2312" w:hAnsi="宋体" w:eastAsia="仿宋_GB2312" w:cs="Times New Roman"/>
                <w:sz w:val="28"/>
                <w:szCs w:val="28"/>
                <w:highlight w:val="none"/>
                <w:vertAlign w:val="baseline"/>
                <w:lang w:val="en-US" w:eastAsia="zh-CN"/>
              </w:rPr>
            </w:pPr>
            <w:r>
              <w:rPr>
                <w:rFonts w:hint="eastAsia" w:ascii="仿宋_GB2312" w:hAnsi="宋体" w:eastAsia="仿宋_GB2312" w:cs="Times New Roman"/>
                <w:sz w:val="28"/>
                <w:szCs w:val="28"/>
                <w:highlight w:val="none"/>
                <w:vertAlign w:val="baseline"/>
                <w:lang w:val="en-US" w:eastAsia="zh-CN"/>
              </w:rPr>
              <w:t>8小时</w:t>
            </w:r>
          </w:p>
        </w:tc>
        <w:tc>
          <w:tcPr>
            <w:tcW w:w="1646" w:type="dxa"/>
            <w:noWrap w:val="0"/>
            <w:vAlign w:val="top"/>
          </w:tcPr>
          <w:p w14:paraId="1F3A803C">
            <w:pPr>
              <w:jc w:val="center"/>
              <w:rPr>
                <w:rFonts w:hint="default" w:ascii="仿宋_GB2312" w:hAnsi="宋体" w:eastAsia="仿宋_GB2312" w:cs="Times New Roman"/>
                <w:sz w:val="28"/>
                <w:szCs w:val="28"/>
                <w:highlight w:val="none"/>
                <w:vertAlign w:val="baseline"/>
                <w:lang w:val="en-US" w:eastAsia="zh-CN"/>
              </w:rPr>
            </w:pPr>
            <w:r>
              <w:rPr>
                <w:rFonts w:hint="eastAsia" w:ascii="仿宋_GB2312" w:hAnsi="宋体" w:eastAsia="仿宋_GB2312" w:cs="Times New Roman"/>
                <w:sz w:val="28"/>
                <w:szCs w:val="28"/>
                <w:highlight w:val="none"/>
                <w:vertAlign w:val="baseline"/>
                <w:lang w:val="en-US" w:eastAsia="zh-CN"/>
              </w:rPr>
              <w:t>2</w:t>
            </w:r>
          </w:p>
        </w:tc>
        <w:tc>
          <w:tcPr>
            <w:tcW w:w="2028" w:type="dxa"/>
            <w:noWrap w:val="0"/>
            <w:vAlign w:val="top"/>
          </w:tcPr>
          <w:p w14:paraId="573CF2A9">
            <w:pPr>
              <w:jc w:val="center"/>
              <w:rPr>
                <w:rFonts w:hint="default" w:ascii="仿宋_GB2312" w:hAnsi="宋体" w:eastAsia="仿宋_GB2312" w:cs="Times New Roman"/>
                <w:sz w:val="28"/>
                <w:szCs w:val="28"/>
                <w:highlight w:val="none"/>
                <w:vertAlign w:val="baseline"/>
                <w:lang w:val="en-US" w:eastAsia="zh-CN"/>
              </w:rPr>
            </w:pPr>
          </w:p>
        </w:tc>
        <w:tc>
          <w:tcPr>
            <w:tcW w:w="1590" w:type="dxa"/>
            <w:noWrap w:val="0"/>
            <w:vAlign w:val="top"/>
          </w:tcPr>
          <w:p w14:paraId="31464956">
            <w:pPr>
              <w:jc w:val="center"/>
              <w:rPr>
                <w:rFonts w:hint="default" w:ascii="仿宋_GB2312" w:hAnsi="宋体" w:eastAsia="仿宋_GB2312" w:cs="Times New Roman"/>
                <w:sz w:val="28"/>
                <w:szCs w:val="28"/>
                <w:highlight w:val="none"/>
                <w:vertAlign w:val="baseline"/>
                <w:lang w:val="en-US" w:eastAsia="zh-CN"/>
              </w:rPr>
            </w:pPr>
          </w:p>
        </w:tc>
      </w:tr>
      <w:tr w14:paraId="52F2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9" w:type="dxa"/>
            <w:noWrap w:val="0"/>
            <w:vAlign w:val="center"/>
          </w:tcPr>
          <w:p w14:paraId="51CEDB5C">
            <w:p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b/>
                <w:bCs/>
                <w:sz w:val="28"/>
                <w:szCs w:val="28"/>
                <w:highlight w:val="none"/>
                <w:vertAlign w:val="baseline"/>
                <w:lang w:val="en-US" w:eastAsia="zh-CN"/>
              </w:rPr>
              <w:t>合计金额</w:t>
            </w:r>
          </w:p>
        </w:tc>
        <w:tc>
          <w:tcPr>
            <w:tcW w:w="7948" w:type="dxa"/>
            <w:gridSpan w:val="5"/>
            <w:noWrap w:val="0"/>
            <w:vAlign w:val="top"/>
          </w:tcPr>
          <w:p w14:paraId="132D3945">
            <w:pPr>
              <w:rPr>
                <w:rFonts w:hint="eastAsia" w:ascii="仿宋_GB2312" w:hAnsi="仿宋_GB2312" w:eastAsia="仿宋_GB2312" w:cs="仿宋_GB2312"/>
                <w:sz w:val="32"/>
                <w:szCs w:val="32"/>
                <w:highlight w:val="none"/>
                <w:vertAlign w:val="baseline"/>
              </w:rPr>
            </w:pPr>
            <w:r>
              <w:rPr>
                <w:rFonts w:hint="eastAsia" w:ascii="仿宋_GB2312" w:hAnsi="仿宋_GB2312" w:eastAsia="仿宋_GB2312" w:cs="仿宋_GB2312"/>
                <w:color w:val="000000"/>
                <w:kern w:val="0"/>
                <w:sz w:val="28"/>
                <w:szCs w:val="28"/>
                <w:highlight w:val="none"/>
                <w:vertAlign w:val="baseline"/>
                <w:lang w:val="en-US" w:eastAsia="zh-CN"/>
              </w:rPr>
              <w:t>大写</w:t>
            </w:r>
            <w:r>
              <w:rPr>
                <w:rFonts w:hint="eastAsia" w:ascii="仿宋_GB2312" w:hAnsi="仿宋_GB2312" w:eastAsia="仿宋_GB2312" w:cs="仿宋_GB2312"/>
                <w:color w:val="000000"/>
                <w:kern w:val="0"/>
                <w:sz w:val="28"/>
                <w:szCs w:val="28"/>
                <w:highlight w:val="none"/>
                <w:u w:val="single"/>
                <w:vertAlign w:val="baseline"/>
                <w:lang w:val="en-US" w:eastAsia="zh-CN"/>
              </w:rPr>
              <w:t xml:space="preserve">        </w:t>
            </w:r>
            <w:r>
              <w:rPr>
                <w:rFonts w:hint="eastAsia" w:ascii="仿宋_GB2312" w:hAnsi="仿宋_GB2312" w:eastAsia="仿宋_GB2312" w:cs="仿宋_GB2312"/>
                <w:color w:val="000000"/>
                <w:kern w:val="0"/>
                <w:sz w:val="28"/>
                <w:szCs w:val="28"/>
                <w:highlight w:val="none"/>
                <w:vertAlign w:val="baseline"/>
                <w:lang w:val="en-US" w:eastAsia="zh-CN"/>
              </w:rPr>
              <w:t>整(¥元）</w:t>
            </w:r>
            <w:r>
              <w:rPr>
                <w:rFonts w:hint="eastAsia" w:ascii="仿宋_GB2312" w:hAnsi="仿宋_GB2312" w:eastAsia="仿宋_GB2312" w:cs="仿宋_GB2312"/>
                <w:i/>
                <w:iCs/>
                <w:color w:val="000000"/>
                <w:kern w:val="0"/>
                <w:sz w:val="28"/>
                <w:szCs w:val="28"/>
                <w:highlight w:val="none"/>
                <w:vertAlign w:val="baseline"/>
                <w:lang w:val="en-US" w:eastAsia="zh-CN"/>
              </w:rPr>
              <w:t>（含税，税率X%）</w:t>
            </w:r>
          </w:p>
        </w:tc>
      </w:tr>
      <w:tr w14:paraId="7113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9" w:type="dxa"/>
            <w:noWrap w:val="0"/>
            <w:vAlign w:val="center"/>
          </w:tcPr>
          <w:p w14:paraId="02C014D8">
            <w:pPr>
              <w:jc w:val="center"/>
              <w:rPr>
                <w:rFonts w:hint="default"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b/>
                <w:bCs/>
                <w:sz w:val="28"/>
                <w:szCs w:val="28"/>
                <w:highlight w:val="none"/>
                <w:vertAlign w:val="baseline"/>
                <w:lang w:val="en-US" w:eastAsia="zh-CN"/>
              </w:rPr>
              <w:t>备注</w:t>
            </w:r>
          </w:p>
        </w:tc>
        <w:tc>
          <w:tcPr>
            <w:tcW w:w="7948" w:type="dxa"/>
            <w:gridSpan w:val="5"/>
            <w:noWrap w:val="0"/>
            <w:vAlign w:val="top"/>
          </w:tcPr>
          <w:p w14:paraId="5F006B6C">
            <w:pPr>
              <w:jc w:val="left"/>
              <w:rPr>
                <w:rFonts w:hint="eastAsia" w:ascii="仿宋_GB2312" w:hAnsi="仿宋_GB2312" w:eastAsia="仿宋_GB2312" w:cs="仿宋_GB2312"/>
                <w:color w:val="000000"/>
                <w:kern w:val="0"/>
                <w:sz w:val="28"/>
                <w:szCs w:val="28"/>
                <w:highlight w:val="none"/>
                <w:vertAlign w:val="baseline"/>
                <w:lang w:val="en-US" w:eastAsia="zh-CN"/>
              </w:rPr>
            </w:pPr>
          </w:p>
        </w:tc>
      </w:tr>
    </w:tbl>
    <w:p w14:paraId="16F66F4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（二）本合同为甲、乙双方总合同。</w:t>
      </w:r>
    </w:p>
    <w:p w14:paraId="6A28E035">
      <w:pPr>
        <w:keepNext w:val="0"/>
        <w:keepLines w:val="0"/>
        <w:pageBreakBefore w:val="0"/>
        <w:widowControl w:val="0"/>
        <w:kinsoku/>
        <w:wordWrap/>
        <w:overflowPunct/>
        <w:topLinePunct w:val="0"/>
        <w:autoSpaceDE/>
        <w:autoSpaceDN/>
        <w:bidi w:val="0"/>
        <w:adjustRightInd/>
        <w:snapToGrid/>
        <w:spacing w:line="540" w:lineRule="exact"/>
        <w:ind w:firstLine="630" w:firstLineChars="196"/>
        <w:textAlignment w:val="auto"/>
        <w:rPr>
          <w:rFonts w:hint="eastAsia" w:ascii="仿宋" w:hAnsi="仿宋" w:eastAsia="仿宋" w:cs="仿宋"/>
          <w:b/>
          <w:sz w:val="32"/>
          <w:szCs w:val="32"/>
          <w:highlight w:val="none"/>
        </w:rPr>
      </w:pPr>
      <w:r>
        <w:rPr>
          <w:rFonts w:hint="eastAsia" w:ascii="仿宋" w:hAnsi="仿宋" w:eastAsia="仿宋" w:cs="仿宋"/>
          <w:b/>
          <w:bCs/>
          <w:color w:val="000000"/>
          <w:kern w:val="0"/>
          <w:sz w:val="32"/>
          <w:szCs w:val="28"/>
          <w:highlight w:val="none"/>
        </w:rPr>
        <w:t>二、</w:t>
      </w:r>
      <w:r>
        <w:rPr>
          <w:rFonts w:hint="eastAsia" w:ascii="仿宋" w:hAnsi="仿宋" w:eastAsia="仿宋" w:cs="仿宋"/>
          <w:b/>
          <w:sz w:val="32"/>
          <w:szCs w:val="32"/>
          <w:highlight w:val="none"/>
        </w:rPr>
        <w:t>服务期限及备忘条款</w:t>
      </w:r>
    </w:p>
    <w:p w14:paraId="6B092770">
      <w:pPr>
        <w:keepNext w:val="0"/>
        <w:keepLines w:val="0"/>
        <w:pageBreakBefore w:val="0"/>
        <w:widowControl w:val="0"/>
        <w:kinsoku/>
        <w:wordWrap/>
        <w:overflowPunct/>
        <w:topLinePunct w:val="0"/>
        <w:autoSpaceDE/>
        <w:autoSpaceDN/>
        <w:bidi w:val="0"/>
        <w:adjustRightInd/>
        <w:snapToGrid/>
        <w:spacing w:line="540" w:lineRule="exact"/>
        <w:ind w:left="141" w:leftChars="67" w:firstLine="467" w:firstLineChars="146"/>
        <w:textAlignment w:val="auto"/>
        <w:rPr>
          <w:rFonts w:hint="default" w:ascii="仿宋_GB2312" w:hAnsi="宋体" w:eastAsia="仿宋_GB2312"/>
          <w:sz w:val="32"/>
          <w:szCs w:val="32"/>
          <w:highlight w:val="none"/>
          <w:lang w:val="en-US" w:eastAsia="zh-CN"/>
        </w:rPr>
      </w:pPr>
      <w:r>
        <w:rPr>
          <w:rFonts w:hint="eastAsia" w:ascii="仿宋_GB2312" w:hAnsi="宋体" w:eastAsia="仿宋_GB2312"/>
          <w:sz w:val="32"/>
          <w:szCs w:val="32"/>
          <w:highlight w:val="none"/>
        </w:rPr>
        <w:t>（一）</w:t>
      </w:r>
      <w:r>
        <w:rPr>
          <w:rFonts w:hint="eastAsia" w:ascii="仿宋_GB2312" w:hAnsi="宋体" w:eastAsia="仿宋_GB2312"/>
          <w:sz w:val="32"/>
          <w:szCs w:val="32"/>
          <w:highlight w:val="none"/>
          <w:lang w:val="en-US" w:eastAsia="zh-CN"/>
        </w:rPr>
        <w:t>本合同</w:t>
      </w:r>
      <w:r>
        <w:rPr>
          <w:rFonts w:hint="eastAsia" w:ascii="仿宋_GB2312" w:hAnsi="宋体" w:eastAsia="仿宋_GB2312"/>
          <w:sz w:val="32"/>
          <w:szCs w:val="32"/>
          <w:highlight w:val="none"/>
        </w:rPr>
        <w:t>有效期为</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lang w:val="en-US" w:eastAsia="zh-CN"/>
        </w:rPr>
        <w:t>个月</w:t>
      </w:r>
      <w:r>
        <w:rPr>
          <w:rFonts w:hint="eastAsia" w:ascii="仿宋_GB2312" w:hAnsi="宋体" w:eastAsia="仿宋_GB2312"/>
          <w:sz w:val="32"/>
          <w:szCs w:val="32"/>
          <w:highlight w:val="none"/>
        </w:rPr>
        <w:t>，自</w:t>
      </w:r>
      <w:r>
        <w:rPr>
          <w:rFonts w:hint="eastAsia" w:ascii="仿宋_GB2312" w:hAnsi="宋体" w:eastAsia="仿宋_GB2312"/>
          <w:sz w:val="32"/>
          <w:szCs w:val="32"/>
          <w:highlight w:val="none"/>
          <w:u w:val="single"/>
          <w:lang w:val="en-US" w:eastAsia="zh-CN"/>
        </w:rPr>
        <w:t>2026</w:t>
      </w:r>
      <w:r>
        <w:rPr>
          <w:rFonts w:hint="eastAsia" w:ascii="仿宋_GB2312" w:hAnsi="宋体" w:eastAsia="仿宋_GB2312"/>
          <w:sz w:val="32"/>
          <w:szCs w:val="32"/>
          <w:highlight w:val="none"/>
        </w:rPr>
        <w:t>年</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rPr>
        <w:t>月</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rPr>
        <w:t>日起至</w:t>
      </w:r>
      <w:r>
        <w:rPr>
          <w:rFonts w:hint="eastAsia" w:ascii="仿宋_GB2312" w:hAnsi="宋体" w:eastAsia="仿宋_GB2312"/>
          <w:sz w:val="32"/>
          <w:szCs w:val="32"/>
          <w:highlight w:val="none"/>
          <w:lang w:val="en-US" w:eastAsia="zh-CN"/>
        </w:rPr>
        <w:t>2026</w:t>
      </w: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rPr>
        <w:t>年</w:t>
      </w: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rPr>
        <w:t>月</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rPr>
        <w:t>日止。</w:t>
      </w:r>
      <w:r>
        <w:rPr>
          <w:rFonts w:hint="eastAsia" w:ascii="仿宋_GB2312" w:hAnsi="宋体" w:eastAsia="仿宋_GB2312"/>
          <w:sz w:val="32"/>
          <w:szCs w:val="32"/>
          <w:highlight w:val="none"/>
          <w:lang w:val="en-US" w:eastAsia="zh-CN"/>
        </w:rPr>
        <w:t>实际终止日期以甲方书面通知为准。</w:t>
      </w:r>
    </w:p>
    <w:p w14:paraId="40001BD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（二）合同期满，本合同自动终止。甲、乙双方任何一方若需续签合同，应在合同期限届满前三十天以书面形式通知对方，对方应在收到书面通知后一周内予以回复，未予回复</w:t>
      </w:r>
      <w:r>
        <w:rPr>
          <w:rFonts w:hint="eastAsia" w:ascii="仿宋_GB2312" w:hAnsi="宋体" w:eastAsia="仿宋_GB2312"/>
          <w:sz w:val="32"/>
          <w:szCs w:val="32"/>
          <w:highlight w:val="none"/>
          <w:lang w:val="en-US" w:eastAsia="zh-CN"/>
        </w:rPr>
        <w:t>即</w:t>
      </w:r>
      <w:r>
        <w:rPr>
          <w:rFonts w:hint="eastAsia" w:ascii="仿宋_GB2312" w:hAnsi="宋体" w:eastAsia="仿宋_GB2312"/>
          <w:sz w:val="32"/>
          <w:szCs w:val="32"/>
          <w:highlight w:val="none"/>
        </w:rPr>
        <w:t>合同届满终止合作</w:t>
      </w:r>
      <w:r>
        <w:rPr>
          <w:rFonts w:hint="eastAsia" w:ascii="仿宋_GB2312" w:hAnsi="宋体" w:eastAsia="仿宋_GB2312"/>
          <w:sz w:val="32"/>
          <w:szCs w:val="32"/>
          <w:highlight w:val="none"/>
          <w:lang w:eastAsia="zh-CN"/>
        </w:rPr>
        <w:t>。</w:t>
      </w:r>
    </w:p>
    <w:p w14:paraId="25FD5AC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（三）在合同有效期内，如未经甲方书面许可，乙方不得将本合同规定乙方的权利义务以任何形式直接或间接转让、外包给任何个人或单位，但乙方与其下属各公司（含</w:t>
      </w:r>
      <w:r>
        <w:rPr>
          <w:rFonts w:hint="eastAsia" w:ascii="仿宋_GB2312" w:hAnsi="宋体" w:eastAsia="仿宋_GB2312"/>
          <w:sz w:val="32"/>
          <w:szCs w:val="32"/>
          <w:highlight w:val="none"/>
          <w:lang w:val="en-US" w:eastAsia="zh-CN"/>
        </w:rPr>
        <w:t>分公司、</w:t>
      </w:r>
      <w:r>
        <w:rPr>
          <w:rFonts w:hint="eastAsia" w:ascii="仿宋_GB2312" w:hAnsi="宋体" w:eastAsia="仿宋_GB2312"/>
          <w:sz w:val="32"/>
          <w:szCs w:val="32"/>
          <w:highlight w:val="none"/>
        </w:rPr>
        <w:t>全资子公司、控股公司、参股公司）组成的服务团队提供项目服务的除外。</w:t>
      </w:r>
    </w:p>
    <w:p w14:paraId="6107E59D">
      <w:pPr>
        <w:keepNext w:val="0"/>
        <w:keepLines w:val="0"/>
        <w:pageBreakBefore w:val="0"/>
        <w:widowControl w:val="0"/>
        <w:kinsoku/>
        <w:wordWrap/>
        <w:overflowPunct/>
        <w:topLinePunct w:val="0"/>
        <w:autoSpaceDE/>
        <w:autoSpaceDN/>
        <w:bidi w:val="0"/>
        <w:adjustRightInd/>
        <w:snapToGrid/>
        <w:spacing w:line="540" w:lineRule="exact"/>
        <w:ind w:firstLine="630" w:firstLineChars="196"/>
        <w:textAlignment w:val="auto"/>
        <w:rPr>
          <w:rFonts w:hint="eastAsia" w:ascii="仿宋" w:hAnsi="仿宋" w:eastAsia="仿宋" w:cs="仿宋"/>
          <w:b/>
          <w:bCs/>
          <w:color w:val="000000"/>
          <w:kern w:val="0"/>
          <w:sz w:val="32"/>
          <w:szCs w:val="28"/>
          <w:highlight w:val="none"/>
        </w:rPr>
      </w:pPr>
      <w:r>
        <w:rPr>
          <w:rFonts w:hint="eastAsia" w:ascii="仿宋" w:hAnsi="仿宋" w:eastAsia="仿宋" w:cs="仿宋"/>
          <w:b/>
          <w:bCs/>
          <w:color w:val="000000"/>
          <w:kern w:val="0"/>
          <w:sz w:val="32"/>
          <w:szCs w:val="28"/>
          <w:highlight w:val="none"/>
        </w:rPr>
        <w:t>三、服务费用及付款方式</w:t>
      </w:r>
    </w:p>
    <w:p w14:paraId="54EBFB7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color w:val="000000"/>
          <w:sz w:val="32"/>
          <w:szCs w:val="32"/>
          <w:highlight w:val="none"/>
        </w:rPr>
      </w:pPr>
      <w:r>
        <w:rPr>
          <w:rFonts w:hint="eastAsia" w:ascii="仿宋_GB2312" w:hAnsi="宋体" w:eastAsia="仿宋_GB2312" w:cs="Times New Roman"/>
          <w:color w:val="000000"/>
          <w:sz w:val="32"/>
          <w:szCs w:val="32"/>
          <w:highlight w:val="none"/>
        </w:rPr>
        <w:t>（一）服务费用</w:t>
      </w:r>
    </w:p>
    <w:p w14:paraId="44DAC9E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color w:val="000000"/>
          <w:sz w:val="32"/>
          <w:szCs w:val="32"/>
          <w:highlight w:val="none"/>
          <w:lang w:val="en-US" w:eastAsia="zh-CN"/>
        </w:rPr>
      </w:pPr>
      <w:r>
        <w:rPr>
          <w:rFonts w:hint="eastAsia" w:ascii="仿宋_GB2312" w:hAnsi="宋体" w:eastAsia="仿宋_GB2312" w:cs="Times New Roman"/>
          <w:color w:val="000000"/>
          <w:sz w:val="32"/>
          <w:szCs w:val="32"/>
          <w:highlight w:val="none"/>
        </w:rPr>
        <w:t>服务总费用为（大写）</w:t>
      </w:r>
      <w:r>
        <w:rPr>
          <w:rFonts w:hint="eastAsia" w:ascii="仿宋_GB2312" w:hAnsi="宋体" w:eastAsia="仿宋_GB2312" w:cs="Times New Roman"/>
          <w:color w:val="000000"/>
          <w:sz w:val="32"/>
          <w:szCs w:val="32"/>
          <w:highlight w:val="none"/>
          <w:u w:val="single"/>
          <w:lang w:val="en-US" w:eastAsia="zh-CN"/>
        </w:rPr>
        <w:t xml:space="preserve">     </w:t>
      </w:r>
      <w:r>
        <w:rPr>
          <w:rFonts w:hint="eastAsia" w:ascii="仿宋_GB2312" w:hAnsi="宋体" w:eastAsia="仿宋_GB2312" w:cs="Times New Roman"/>
          <w:color w:val="000000"/>
          <w:sz w:val="32"/>
          <w:szCs w:val="32"/>
          <w:highlight w:val="none"/>
        </w:rPr>
        <w:t>整（￥</w:t>
      </w:r>
      <w:r>
        <w:rPr>
          <w:rFonts w:hint="eastAsia" w:ascii="仿宋_GB2312" w:hAnsi="宋体" w:eastAsia="仿宋_GB2312" w:cs="Times New Roman"/>
          <w:color w:val="000000"/>
          <w:sz w:val="32"/>
          <w:szCs w:val="32"/>
          <w:highlight w:val="none"/>
          <w:u w:val="single"/>
          <w:lang w:val="en-US" w:eastAsia="zh-CN"/>
        </w:rPr>
        <w:t xml:space="preserve">    </w:t>
      </w:r>
      <w:r>
        <w:rPr>
          <w:rFonts w:hint="eastAsia" w:ascii="仿宋_GB2312" w:hAnsi="宋体" w:eastAsia="仿宋_GB2312" w:cs="Times New Roman"/>
          <w:color w:val="000000"/>
          <w:sz w:val="32"/>
          <w:szCs w:val="32"/>
          <w:highlight w:val="none"/>
        </w:rPr>
        <w:t>元）（含税</w:t>
      </w:r>
      <w:r>
        <w:rPr>
          <w:rFonts w:hint="eastAsia" w:ascii="仿宋_GB2312" w:hAnsi="宋体" w:eastAsia="仿宋_GB2312" w:cs="Times New Roman"/>
          <w:color w:val="000000"/>
          <w:sz w:val="32"/>
          <w:szCs w:val="32"/>
          <w:highlight w:val="none"/>
          <w:lang w:eastAsia="zh-CN"/>
        </w:rPr>
        <w:t>，</w:t>
      </w:r>
      <w:r>
        <w:rPr>
          <w:rFonts w:hint="eastAsia" w:ascii="仿宋_GB2312" w:hAnsi="宋体" w:eastAsia="仿宋_GB2312" w:cs="Times New Roman"/>
          <w:color w:val="000000"/>
          <w:sz w:val="32"/>
          <w:szCs w:val="32"/>
          <w:highlight w:val="none"/>
          <w:lang w:val="en-US" w:eastAsia="zh-CN"/>
        </w:rPr>
        <w:t>不含税价为      元</w:t>
      </w:r>
      <w:r>
        <w:rPr>
          <w:rFonts w:hint="eastAsia" w:ascii="仿宋_GB2312" w:hAnsi="宋体" w:eastAsia="仿宋_GB2312" w:cs="Times New Roman"/>
          <w:color w:val="000000"/>
          <w:sz w:val="32"/>
          <w:szCs w:val="32"/>
          <w:highlight w:val="none"/>
        </w:rPr>
        <w:t>）</w:t>
      </w:r>
      <w:r>
        <w:rPr>
          <w:rFonts w:hint="eastAsia" w:ascii="仿宋_GB2312" w:hAnsi="宋体" w:eastAsia="仿宋_GB2312" w:cs="Times New Roman"/>
          <w:color w:val="000000"/>
          <w:sz w:val="32"/>
          <w:szCs w:val="32"/>
          <w:highlight w:val="none"/>
          <w:lang w:eastAsia="zh-CN"/>
        </w:rPr>
        <w:t>，</w:t>
      </w:r>
      <w:r>
        <w:rPr>
          <w:rFonts w:hint="eastAsia" w:ascii="仿宋_GB2312" w:hAnsi="宋体" w:eastAsia="仿宋_GB2312" w:cs="Times New Roman"/>
          <w:color w:val="000000"/>
          <w:sz w:val="32"/>
          <w:szCs w:val="32"/>
          <w:highlight w:val="none"/>
          <w:lang w:val="en-US" w:eastAsia="zh-CN"/>
        </w:rPr>
        <w:t>每月服务费用为</w:t>
      </w:r>
      <w:r>
        <w:rPr>
          <w:rFonts w:hint="eastAsia" w:ascii="仿宋_GB2312" w:hAnsi="宋体" w:eastAsia="仿宋_GB2312" w:cs="Times New Roman"/>
          <w:color w:val="000000"/>
          <w:sz w:val="32"/>
          <w:szCs w:val="32"/>
          <w:highlight w:val="none"/>
        </w:rPr>
        <w:t>（大写）</w:t>
      </w:r>
      <w:r>
        <w:rPr>
          <w:rFonts w:hint="eastAsia" w:ascii="仿宋_GB2312" w:hAnsi="宋体" w:eastAsia="仿宋_GB2312" w:cs="Times New Roman"/>
          <w:color w:val="000000"/>
          <w:sz w:val="32"/>
          <w:szCs w:val="32"/>
          <w:highlight w:val="none"/>
          <w:u w:val="single"/>
          <w:lang w:val="en-US" w:eastAsia="zh-CN"/>
        </w:rPr>
        <w:t>壹万贰仟元</w:t>
      </w:r>
      <w:r>
        <w:rPr>
          <w:rFonts w:hint="eastAsia" w:ascii="仿宋_GB2312" w:hAnsi="宋体" w:eastAsia="仿宋_GB2312" w:cs="Times New Roman"/>
          <w:color w:val="000000"/>
          <w:sz w:val="32"/>
          <w:szCs w:val="32"/>
          <w:highlight w:val="none"/>
        </w:rPr>
        <w:t>整（￥</w:t>
      </w:r>
      <w:r>
        <w:rPr>
          <w:rFonts w:hint="eastAsia" w:ascii="仿宋_GB2312" w:hAnsi="宋体" w:eastAsia="仿宋_GB2312" w:cs="Times New Roman"/>
          <w:color w:val="000000"/>
          <w:sz w:val="32"/>
          <w:szCs w:val="32"/>
          <w:highlight w:val="none"/>
          <w:u w:val="single"/>
        </w:rPr>
        <w:t xml:space="preserve"> </w:t>
      </w:r>
      <w:r>
        <w:rPr>
          <w:rFonts w:hint="eastAsia" w:ascii="仿宋_GB2312" w:hAnsi="宋体" w:eastAsia="仿宋_GB2312" w:cs="Times New Roman"/>
          <w:color w:val="000000"/>
          <w:sz w:val="32"/>
          <w:szCs w:val="32"/>
          <w:highlight w:val="none"/>
          <w:u w:val="single"/>
          <w:lang w:val="en-US" w:eastAsia="zh-CN"/>
        </w:rPr>
        <w:t xml:space="preserve">       </w:t>
      </w:r>
      <w:r>
        <w:rPr>
          <w:rFonts w:hint="eastAsia" w:ascii="仿宋_GB2312" w:hAnsi="宋体" w:eastAsia="仿宋_GB2312" w:cs="Times New Roman"/>
          <w:color w:val="000000"/>
          <w:sz w:val="32"/>
          <w:szCs w:val="32"/>
          <w:highlight w:val="none"/>
        </w:rPr>
        <w:t>元）（含税</w:t>
      </w:r>
      <w:r>
        <w:rPr>
          <w:rFonts w:hint="eastAsia" w:ascii="仿宋_GB2312" w:hAnsi="宋体" w:eastAsia="仿宋_GB2312" w:cs="Times New Roman"/>
          <w:color w:val="000000"/>
          <w:sz w:val="32"/>
          <w:szCs w:val="32"/>
          <w:highlight w:val="none"/>
          <w:lang w:eastAsia="zh-CN"/>
        </w:rPr>
        <w:t>，</w:t>
      </w:r>
      <w:r>
        <w:rPr>
          <w:rFonts w:hint="eastAsia" w:ascii="仿宋_GB2312" w:hAnsi="宋体" w:eastAsia="仿宋_GB2312" w:cs="Times New Roman"/>
          <w:color w:val="000000"/>
          <w:sz w:val="32"/>
          <w:szCs w:val="32"/>
          <w:highlight w:val="none"/>
          <w:lang w:val="en-US" w:eastAsia="zh-CN"/>
        </w:rPr>
        <w:t>不含税价为     元</w:t>
      </w:r>
      <w:r>
        <w:rPr>
          <w:rFonts w:hint="eastAsia" w:ascii="仿宋_GB2312" w:hAnsi="宋体" w:eastAsia="仿宋_GB2312" w:cs="Times New Roman"/>
          <w:color w:val="000000"/>
          <w:sz w:val="32"/>
          <w:szCs w:val="32"/>
          <w:highlight w:val="none"/>
        </w:rPr>
        <w:t>）。</w:t>
      </w:r>
      <w:r>
        <w:rPr>
          <w:rFonts w:hint="eastAsia" w:ascii="仿宋_GB2312" w:hAnsi="宋体" w:eastAsia="仿宋_GB2312" w:cs="Times New Roman"/>
          <w:color w:val="000000"/>
          <w:sz w:val="32"/>
          <w:szCs w:val="32"/>
          <w:highlight w:val="none"/>
          <w:lang w:val="en-US" w:eastAsia="zh-CN"/>
        </w:rPr>
        <w:t>若服务期不足一个月的，按实际考勤天数/当月天数折算计取费用。</w:t>
      </w:r>
    </w:p>
    <w:p w14:paraId="00275D4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color w:val="000000"/>
          <w:sz w:val="32"/>
          <w:szCs w:val="32"/>
          <w:highlight w:val="none"/>
          <w:lang w:val="en-US" w:eastAsia="zh-CN"/>
        </w:rPr>
      </w:pPr>
      <w:r>
        <w:rPr>
          <w:rFonts w:hint="eastAsia" w:ascii="仿宋_GB2312" w:hAnsi="宋体" w:eastAsia="仿宋_GB2312" w:cs="Times New Roman"/>
          <w:color w:val="000000"/>
          <w:sz w:val="32"/>
          <w:szCs w:val="32"/>
          <w:highlight w:val="none"/>
          <w:lang w:val="en-US" w:eastAsia="zh-CN"/>
        </w:rPr>
        <w:t>（二）甲方每月根据附件《保安服务标准与绩效考核实施细则》对每位保安员进行考核评分。该保安员的月度基础服务费结算金额将与其个人绩效考核结果按以下规则进行直接挂钩：</w:t>
      </w:r>
    </w:p>
    <w:p w14:paraId="22C946C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color w:val="000000"/>
          <w:sz w:val="32"/>
          <w:szCs w:val="32"/>
          <w:highlight w:val="none"/>
          <w:lang w:val="en-US" w:eastAsia="zh-CN"/>
        </w:rPr>
      </w:pPr>
      <w:r>
        <w:rPr>
          <w:rFonts w:hint="eastAsia" w:ascii="仿宋_GB2312" w:hAnsi="宋体" w:eastAsia="仿宋_GB2312" w:cs="Times New Roman"/>
          <w:color w:val="000000"/>
          <w:sz w:val="32"/>
          <w:szCs w:val="32"/>
          <w:highlight w:val="none"/>
          <w:lang w:val="en-US" w:eastAsia="zh-CN"/>
        </w:rPr>
        <w:t>1.单人当月实付基础服务费=单人月度基础服务费×80%（固定发放部分）+绩效（浮动发放部分）+加班费（所有加班费用则以双方核对确认的时长为准进行结算）。</w:t>
      </w:r>
    </w:p>
    <w:p w14:paraId="3E6D3DF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color w:val="000000"/>
          <w:sz w:val="32"/>
          <w:szCs w:val="32"/>
          <w:highlight w:val="none"/>
          <w:lang w:val="en-US" w:eastAsia="zh-CN"/>
        </w:rPr>
      </w:pPr>
      <w:r>
        <w:rPr>
          <w:rFonts w:hint="eastAsia" w:ascii="仿宋_GB2312" w:hAnsi="宋体" w:eastAsia="仿宋_GB2312" w:cs="Times New Roman"/>
          <w:color w:val="000000"/>
          <w:sz w:val="32"/>
          <w:szCs w:val="32"/>
          <w:highlight w:val="none"/>
          <w:lang w:val="en-US" w:eastAsia="zh-CN"/>
        </w:rPr>
        <w:t>2.月度绩效费用=单人月度基础服务费×（1-80%）×被考核人员当月绩效考核系数，考核等级及对应绩效发放比例如下：</w:t>
      </w:r>
    </w:p>
    <w:p w14:paraId="37613E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color w:val="000000"/>
          <w:sz w:val="32"/>
          <w:szCs w:val="32"/>
          <w:highlight w:val="none"/>
          <w:lang w:val="en-US" w:eastAsia="zh-CN"/>
        </w:rPr>
      </w:pPr>
      <w:r>
        <w:rPr>
          <w:rFonts w:hint="eastAsia" w:ascii="仿宋_GB2312" w:hAnsi="宋体" w:eastAsia="仿宋_GB2312" w:cs="Times New Roman"/>
          <w:color w:val="000000"/>
          <w:sz w:val="32"/>
          <w:szCs w:val="32"/>
          <w:highlight w:val="none"/>
          <w:lang w:val="en-US" w:eastAsia="zh-CN"/>
        </w:rPr>
        <w:t>A/B级（85分及以上）：考核系数1，全额发放绩效；</w:t>
      </w:r>
    </w:p>
    <w:p w14:paraId="52A4C72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color w:val="000000"/>
          <w:sz w:val="32"/>
          <w:szCs w:val="32"/>
          <w:highlight w:val="none"/>
          <w:lang w:val="en-US" w:eastAsia="zh-CN"/>
        </w:rPr>
      </w:pPr>
      <w:r>
        <w:rPr>
          <w:rFonts w:hint="eastAsia" w:ascii="仿宋_GB2312" w:hAnsi="宋体" w:eastAsia="仿宋_GB2312" w:cs="Times New Roman"/>
          <w:color w:val="000000"/>
          <w:sz w:val="32"/>
          <w:szCs w:val="32"/>
          <w:highlight w:val="none"/>
          <w:lang w:val="en-US" w:eastAsia="zh-CN"/>
        </w:rPr>
        <w:t>C级（75分-84分）：考核系数0.8，发放80%绩效；</w:t>
      </w:r>
    </w:p>
    <w:p w14:paraId="591536D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color w:val="000000"/>
          <w:sz w:val="32"/>
          <w:szCs w:val="32"/>
          <w:highlight w:val="none"/>
          <w:lang w:val="en-US" w:eastAsia="zh-CN"/>
        </w:rPr>
      </w:pPr>
      <w:r>
        <w:rPr>
          <w:rFonts w:hint="eastAsia" w:ascii="仿宋_GB2312" w:hAnsi="宋体" w:eastAsia="仿宋_GB2312" w:cs="Times New Roman"/>
          <w:color w:val="000000"/>
          <w:sz w:val="32"/>
          <w:szCs w:val="32"/>
          <w:highlight w:val="none"/>
          <w:lang w:val="en-US" w:eastAsia="zh-CN"/>
        </w:rPr>
        <w:t>D级（60分-74分）：考核系数0.5，发放50%绩效（成交人需制定书面改进计划）；</w:t>
      </w:r>
    </w:p>
    <w:p w14:paraId="599954C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color w:val="000000"/>
          <w:sz w:val="32"/>
          <w:szCs w:val="32"/>
          <w:highlight w:val="none"/>
          <w:lang w:val="en-US" w:eastAsia="zh-CN"/>
        </w:rPr>
      </w:pPr>
      <w:r>
        <w:rPr>
          <w:rFonts w:hint="eastAsia" w:ascii="仿宋_GB2312" w:hAnsi="宋体" w:eastAsia="仿宋_GB2312" w:cs="Times New Roman"/>
          <w:color w:val="000000"/>
          <w:sz w:val="32"/>
          <w:szCs w:val="32"/>
          <w:highlight w:val="none"/>
          <w:lang w:val="en-US" w:eastAsia="zh-CN"/>
        </w:rPr>
        <w:t>E级（60分以下，不含60分）：无绩效，视情况给予警告或更换现场派驻服务人员。</w:t>
      </w:r>
    </w:p>
    <w:p w14:paraId="78CC5A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color w:val="000000"/>
          <w:sz w:val="32"/>
          <w:szCs w:val="32"/>
          <w:highlight w:val="none"/>
        </w:rPr>
      </w:pPr>
      <w:r>
        <w:rPr>
          <w:rFonts w:hint="eastAsia" w:ascii="仿宋_GB2312" w:hAnsi="宋体" w:eastAsia="仿宋_GB2312"/>
          <w:color w:val="000000"/>
          <w:sz w:val="32"/>
          <w:szCs w:val="32"/>
          <w:highlight w:val="none"/>
        </w:rPr>
        <w:t>（</w:t>
      </w:r>
      <w:r>
        <w:rPr>
          <w:rFonts w:hint="eastAsia" w:ascii="仿宋_GB2312" w:hAnsi="宋体" w:eastAsia="仿宋_GB2312"/>
          <w:color w:val="000000"/>
          <w:sz w:val="32"/>
          <w:szCs w:val="32"/>
          <w:highlight w:val="none"/>
          <w:lang w:val="en-US" w:eastAsia="zh-CN"/>
        </w:rPr>
        <w:t>三</w:t>
      </w:r>
      <w:r>
        <w:rPr>
          <w:rFonts w:hint="eastAsia" w:ascii="仿宋_GB2312" w:hAnsi="宋体" w:eastAsia="仿宋_GB2312"/>
          <w:color w:val="000000"/>
          <w:sz w:val="32"/>
          <w:szCs w:val="32"/>
          <w:highlight w:val="none"/>
        </w:rPr>
        <w:t>）</w:t>
      </w:r>
      <w:r>
        <w:rPr>
          <w:rFonts w:hint="eastAsia" w:ascii="仿宋_GB2312" w:hAnsi="仿宋_GB2312" w:eastAsia="仿宋_GB2312" w:cs="仿宋_GB2312"/>
          <w:i w:val="0"/>
          <w:iCs w:val="0"/>
          <w:caps w:val="0"/>
          <w:spacing w:val="0"/>
          <w:kern w:val="2"/>
          <w:sz w:val="32"/>
          <w:szCs w:val="32"/>
          <w:shd w:val="clear" w:color="auto" w:fill="FFFFFF"/>
          <w:vertAlign w:val="baseline"/>
          <w:lang w:val="en-US" w:eastAsia="zh-CN" w:bidi="ar-SA"/>
        </w:rPr>
        <w:t>乙方于每季度结束后的首月5日前向甲方提出付款申请,经甲方审核通过且收到乙方开具的等额增值税电子专用发票后，甲方于20个日历天内一次性支付上一季度经确认的服务费用。若乙方发票违规导致甲方损失，乙方除赔偿外，另按涉税金额20% 支付违约金。</w:t>
      </w:r>
    </w:p>
    <w:p w14:paraId="4BCB952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color w:val="000000"/>
          <w:sz w:val="32"/>
          <w:szCs w:val="32"/>
          <w:highlight w:val="none"/>
          <w:lang w:val="en-US" w:eastAsia="zh-CN"/>
        </w:rPr>
      </w:pPr>
      <w:r>
        <w:rPr>
          <w:rFonts w:hint="eastAsia" w:ascii="仿宋_GB2312" w:hAnsi="宋体" w:eastAsia="仿宋_GB2312" w:cs="Times New Roman"/>
          <w:color w:val="000000"/>
          <w:sz w:val="32"/>
          <w:szCs w:val="32"/>
          <w:highlight w:val="yellow"/>
          <w:lang w:val="en-US" w:eastAsia="zh-CN"/>
        </w:rPr>
        <w:t>甲方开票信息：</w:t>
      </w:r>
      <w:bookmarkStart w:id="0" w:name="_GoBack"/>
      <w:bookmarkEnd w:id="0"/>
    </w:p>
    <w:p w14:paraId="7F368F79">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Times New Roman"/>
          <w:b/>
          <w:sz w:val="32"/>
          <w:szCs w:val="32"/>
          <w:highlight w:val="none"/>
        </w:rPr>
      </w:pPr>
      <w:r>
        <w:rPr>
          <w:rFonts w:hint="eastAsia" w:ascii="仿宋" w:hAnsi="仿宋" w:eastAsia="仿宋" w:cs="Times New Roman"/>
          <w:b/>
          <w:sz w:val="32"/>
          <w:szCs w:val="32"/>
          <w:highlight w:val="none"/>
          <w:lang w:val="en-US" w:eastAsia="zh-CN"/>
        </w:rPr>
        <w:t>名称</w:t>
      </w:r>
      <w:r>
        <w:rPr>
          <w:rFonts w:hint="eastAsia" w:ascii="仿宋" w:hAnsi="仿宋" w:eastAsia="仿宋" w:cs="Times New Roman"/>
          <w:b/>
          <w:sz w:val="32"/>
          <w:szCs w:val="32"/>
          <w:highlight w:val="none"/>
        </w:rPr>
        <w:t>：</w:t>
      </w:r>
    </w:p>
    <w:p w14:paraId="18E15063">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Times New Roman"/>
          <w:b/>
          <w:sz w:val="32"/>
          <w:szCs w:val="32"/>
          <w:highlight w:val="none"/>
        </w:rPr>
      </w:pPr>
      <w:r>
        <w:rPr>
          <w:rFonts w:hint="eastAsia" w:ascii="仿宋" w:hAnsi="仿宋" w:eastAsia="仿宋" w:cs="Times New Roman"/>
          <w:b/>
          <w:sz w:val="32"/>
          <w:szCs w:val="32"/>
          <w:highlight w:val="none"/>
          <w:lang w:val="en-US" w:eastAsia="zh-CN"/>
        </w:rPr>
        <w:t>纳税人识别号</w:t>
      </w:r>
      <w:r>
        <w:rPr>
          <w:rFonts w:hint="eastAsia" w:ascii="仿宋" w:hAnsi="仿宋" w:eastAsia="仿宋" w:cs="Times New Roman"/>
          <w:b/>
          <w:sz w:val="32"/>
          <w:szCs w:val="32"/>
          <w:highlight w:val="none"/>
        </w:rPr>
        <w:t>：</w:t>
      </w:r>
    </w:p>
    <w:p w14:paraId="0E367B96">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Times New Roman"/>
          <w:b/>
          <w:sz w:val="32"/>
          <w:szCs w:val="32"/>
          <w:highlight w:val="none"/>
        </w:rPr>
      </w:pPr>
      <w:r>
        <w:rPr>
          <w:rFonts w:hint="eastAsia" w:ascii="仿宋" w:hAnsi="仿宋" w:eastAsia="仿宋" w:cs="Times New Roman"/>
          <w:b/>
          <w:sz w:val="32"/>
          <w:szCs w:val="32"/>
          <w:highlight w:val="none"/>
          <w:lang w:val="en-US" w:eastAsia="zh-CN"/>
        </w:rPr>
        <w:t>电话</w:t>
      </w:r>
      <w:r>
        <w:rPr>
          <w:rFonts w:hint="eastAsia" w:ascii="仿宋" w:hAnsi="仿宋" w:eastAsia="仿宋" w:cs="Times New Roman"/>
          <w:b/>
          <w:sz w:val="32"/>
          <w:szCs w:val="32"/>
          <w:highlight w:val="none"/>
        </w:rPr>
        <w:t>：</w:t>
      </w:r>
    </w:p>
    <w:p w14:paraId="739287C9">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Times New Roman"/>
          <w:b/>
          <w:sz w:val="32"/>
          <w:szCs w:val="32"/>
          <w:highlight w:val="none"/>
          <w:lang w:val="en-US" w:eastAsia="zh-CN"/>
        </w:rPr>
      </w:pPr>
      <w:r>
        <w:rPr>
          <w:rFonts w:hint="eastAsia" w:ascii="仿宋" w:hAnsi="仿宋" w:eastAsia="仿宋" w:cs="Times New Roman"/>
          <w:b/>
          <w:sz w:val="32"/>
          <w:szCs w:val="32"/>
          <w:highlight w:val="none"/>
          <w:lang w:val="en-US" w:eastAsia="zh-CN"/>
        </w:rPr>
        <w:t>开户银行：</w:t>
      </w:r>
    </w:p>
    <w:p w14:paraId="1D86DDE1">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Times New Roman"/>
          <w:b/>
          <w:sz w:val="32"/>
          <w:szCs w:val="32"/>
          <w:highlight w:val="none"/>
          <w:lang w:val="en-US" w:eastAsia="zh-CN"/>
        </w:rPr>
      </w:pPr>
      <w:r>
        <w:rPr>
          <w:rFonts w:hint="eastAsia" w:ascii="仿宋" w:hAnsi="仿宋" w:eastAsia="仿宋" w:cs="Times New Roman"/>
          <w:b/>
          <w:sz w:val="32"/>
          <w:szCs w:val="32"/>
          <w:highlight w:val="none"/>
          <w:lang w:val="en-US" w:eastAsia="zh-CN"/>
        </w:rPr>
        <w:t>银行账号：</w:t>
      </w:r>
    </w:p>
    <w:p w14:paraId="5F8219FD">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default" w:ascii="仿宋_GB2312" w:hAnsi="宋体" w:eastAsia="仿宋_GB2312"/>
          <w:color w:val="000000"/>
          <w:sz w:val="32"/>
          <w:szCs w:val="32"/>
          <w:highlight w:val="none"/>
          <w:lang w:val="en-US" w:eastAsia="zh-CN"/>
        </w:rPr>
      </w:pPr>
      <w:r>
        <w:rPr>
          <w:rFonts w:hint="eastAsia" w:ascii="仿宋" w:hAnsi="仿宋" w:eastAsia="仿宋" w:cs="Times New Roman"/>
          <w:b/>
          <w:sz w:val="32"/>
          <w:szCs w:val="32"/>
          <w:highlight w:val="none"/>
          <w:lang w:val="en-US" w:eastAsia="zh-CN"/>
        </w:rPr>
        <w:t>地址：</w:t>
      </w:r>
    </w:p>
    <w:p w14:paraId="4D87E3F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olor w:val="000000"/>
          <w:sz w:val="32"/>
          <w:szCs w:val="32"/>
          <w:highlight w:val="none"/>
        </w:rPr>
      </w:pPr>
      <w:r>
        <w:rPr>
          <w:rFonts w:hint="eastAsia" w:ascii="仿宋" w:hAnsi="仿宋" w:eastAsia="仿宋"/>
          <w:sz w:val="32"/>
          <w:szCs w:val="32"/>
          <w:highlight w:val="none"/>
          <w:lang w:val="en-US" w:eastAsia="zh-CN"/>
        </w:rPr>
        <w:t>甲方保证前述开票信息的真实性、准确性和有效性，否则因此导致乙方开票错误的，甲方不得迟延付款，且甲方应承担因此而产生的任何责任。</w:t>
      </w:r>
    </w:p>
    <w:p w14:paraId="0729CDE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Times New Roman"/>
          <w:b/>
          <w:color w:val="000000"/>
          <w:sz w:val="32"/>
          <w:szCs w:val="32"/>
          <w:highlight w:val="none"/>
          <w:u w:val="single"/>
        </w:rPr>
      </w:pPr>
      <w:r>
        <w:rPr>
          <w:rFonts w:hint="eastAsia" w:ascii="仿宋_GB2312" w:hAnsi="宋体" w:eastAsia="仿宋_GB2312"/>
          <w:color w:val="000000"/>
          <w:sz w:val="32"/>
          <w:szCs w:val="32"/>
          <w:highlight w:val="none"/>
        </w:rPr>
        <w:t>（</w:t>
      </w:r>
      <w:r>
        <w:rPr>
          <w:rFonts w:hint="eastAsia" w:ascii="仿宋_GB2312" w:hAnsi="宋体" w:eastAsia="仿宋_GB2312"/>
          <w:color w:val="000000"/>
          <w:sz w:val="32"/>
          <w:szCs w:val="32"/>
          <w:highlight w:val="none"/>
          <w:lang w:val="en-US" w:eastAsia="zh-CN"/>
        </w:rPr>
        <w:t>四</w:t>
      </w:r>
      <w:r>
        <w:rPr>
          <w:rFonts w:hint="eastAsia" w:ascii="仿宋_GB2312" w:hAnsi="宋体" w:eastAsia="仿宋_GB2312"/>
          <w:color w:val="000000"/>
          <w:sz w:val="32"/>
          <w:szCs w:val="32"/>
          <w:highlight w:val="none"/>
        </w:rPr>
        <w:t>）付款方式-转</w:t>
      </w:r>
      <w:r>
        <w:rPr>
          <w:rFonts w:hint="eastAsia" w:ascii="仿宋_GB2312" w:hAnsi="宋体" w:eastAsia="仿宋_GB2312"/>
          <w:sz w:val="32"/>
          <w:szCs w:val="32"/>
          <w:highlight w:val="none"/>
        </w:rPr>
        <w:t>账</w:t>
      </w:r>
      <w:r>
        <w:rPr>
          <w:rFonts w:hint="eastAsia" w:ascii="仿宋_GB2312" w:hAnsi="宋体" w:eastAsia="仿宋_GB2312"/>
          <w:color w:val="000000"/>
          <w:sz w:val="32"/>
          <w:szCs w:val="32"/>
          <w:highlight w:val="none"/>
        </w:rPr>
        <w:t>。</w:t>
      </w:r>
      <w:r>
        <w:rPr>
          <w:rFonts w:hint="eastAsia" w:ascii="仿宋_GB2312" w:hAnsi="宋体" w:eastAsia="仿宋_GB2312" w:cs="Times New Roman"/>
          <w:color w:val="000000"/>
          <w:sz w:val="32"/>
          <w:szCs w:val="32"/>
          <w:highlight w:val="none"/>
        </w:rPr>
        <w:t>乙方开户行及账户</w:t>
      </w:r>
      <w:r>
        <w:rPr>
          <w:rFonts w:hint="eastAsia" w:ascii="仿宋_GB2312" w:hAnsi="宋体" w:eastAsia="仿宋_GB2312" w:cs="Times New Roman"/>
          <w:color w:val="000000"/>
          <w:sz w:val="32"/>
          <w:szCs w:val="32"/>
          <w:highlight w:val="none"/>
          <w:lang w:val="en-US" w:eastAsia="zh-CN"/>
        </w:rPr>
        <w:t>信息</w:t>
      </w:r>
      <w:r>
        <w:rPr>
          <w:rFonts w:hint="eastAsia" w:ascii="仿宋_GB2312" w:hAnsi="宋体" w:eastAsia="仿宋_GB2312" w:cs="Times New Roman"/>
          <w:color w:val="000000"/>
          <w:sz w:val="32"/>
          <w:szCs w:val="32"/>
          <w:highlight w:val="none"/>
        </w:rPr>
        <w:t>：</w:t>
      </w:r>
    </w:p>
    <w:p w14:paraId="14080DDF">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Times New Roman"/>
          <w:b/>
          <w:sz w:val="32"/>
          <w:szCs w:val="32"/>
          <w:highlight w:val="none"/>
          <w:lang w:val="en-US" w:eastAsia="zh-CN"/>
        </w:rPr>
      </w:pPr>
      <w:r>
        <w:rPr>
          <w:rFonts w:hint="eastAsia" w:ascii="仿宋" w:hAnsi="仿宋" w:eastAsia="仿宋" w:cs="Times New Roman"/>
          <w:b/>
          <w:sz w:val="32"/>
          <w:szCs w:val="32"/>
          <w:highlight w:val="none"/>
          <w:lang w:val="en-US" w:eastAsia="zh-CN"/>
        </w:rPr>
        <w:t>收款单位：</w:t>
      </w:r>
    </w:p>
    <w:p w14:paraId="6FEBF28D">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Times New Roman"/>
          <w:b/>
          <w:sz w:val="32"/>
          <w:szCs w:val="32"/>
          <w:highlight w:val="none"/>
          <w:lang w:val="en-US" w:eastAsia="zh-CN"/>
        </w:rPr>
      </w:pPr>
      <w:r>
        <w:rPr>
          <w:rFonts w:hint="eastAsia" w:ascii="仿宋" w:hAnsi="仿宋" w:eastAsia="仿宋" w:cs="Times New Roman"/>
          <w:b/>
          <w:sz w:val="32"/>
          <w:szCs w:val="32"/>
          <w:highlight w:val="none"/>
          <w:lang w:val="en-US" w:eastAsia="zh-CN"/>
        </w:rPr>
        <w:t xml:space="preserve"> 开户银行：</w:t>
      </w:r>
    </w:p>
    <w:p w14:paraId="6ABA9F72">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default" w:ascii="仿宋" w:hAnsi="仿宋" w:eastAsia="仿宋" w:cs="Times New Roman"/>
          <w:b/>
          <w:sz w:val="32"/>
          <w:szCs w:val="32"/>
          <w:highlight w:val="none"/>
          <w:lang w:val="en-US" w:eastAsia="zh-CN"/>
        </w:rPr>
      </w:pPr>
      <w:r>
        <w:rPr>
          <w:rFonts w:hint="eastAsia" w:ascii="仿宋" w:hAnsi="仿宋" w:eastAsia="仿宋" w:cs="Times New Roman"/>
          <w:b/>
          <w:sz w:val="32"/>
          <w:szCs w:val="32"/>
          <w:highlight w:val="none"/>
          <w:lang w:val="en-US" w:eastAsia="zh-CN"/>
        </w:rPr>
        <w:t xml:space="preserve"> 银行账号： </w:t>
      </w:r>
    </w:p>
    <w:p w14:paraId="4CBE082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Times New Roman"/>
          <w:b w:val="0"/>
          <w:sz w:val="32"/>
          <w:szCs w:val="32"/>
          <w:highlight w:val="none"/>
          <w:lang w:val="en-US" w:eastAsia="zh-CN"/>
        </w:rPr>
      </w:pPr>
      <w:r>
        <w:rPr>
          <w:rFonts w:hint="eastAsia" w:ascii="仿宋" w:hAnsi="仿宋" w:eastAsia="仿宋" w:cs="Times New Roman"/>
          <w:b w:val="0"/>
          <w:sz w:val="32"/>
          <w:szCs w:val="32"/>
          <w:highlight w:val="none"/>
          <w:lang w:val="en-US" w:eastAsia="zh-CN"/>
        </w:rPr>
        <w:t>乙方保证前述付款信息的真实性、准确性和有效性，否则因此导致甲方逾期或错误付款的，乙方自行承担因此而产生的任何经济损失。</w:t>
      </w:r>
    </w:p>
    <w:p w14:paraId="46C32657">
      <w:pPr>
        <w:keepNext w:val="0"/>
        <w:keepLines w:val="0"/>
        <w:pageBreakBefore w:val="0"/>
        <w:widowControl w:val="0"/>
        <w:kinsoku/>
        <w:wordWrap/>
        <w:overflowPunct/>
        <w:topLinePunct w:val="0"/>
        <w:autoSpaceDE/>
        <w:autoSpaceDN/>
        <w:bidi w:val="0"/>
        <w:adjustRightInd/>
        <w:snapToGrid/>
        <w:spacing w:line="540" w:lineRule="exact"/>
        <w:ind w:firstLine="645"/>
        <w:textAlignment w:val="auto"/>
        <w:rPr>
          <w:rFonts w:hint="eastAsia" w:ascii="仿宋_GB2312" w:hAnsi="宋体" w:eastAsia="仿宋_GB2312"/>
          <w:color w:val="000000"/>
          <w:sz w:val="32"/>
          <w:szCs w:val="32"/>
          <w:highlight w:val="none"/>
        </w:rPr>
      </w:pPr>
      <w:r>
        <w:rPr>
          <w:rFonts w:hint="eastAsia" w:ascii="仿宋_GB2312" w:hAnsi="宋体" w:eastAsia="仿宋_GB2312"/>
          <w:color w:val="000000"/>
          <w:sz w:val="32"/>
          <w:szCs w:val="32"/>
          <w:highlight w:val="none"/>
        </w:rPr>
        <w:t>（</w:t>
      </w:r>
      <w:r>
        <w:rPr>
          <w:rFonts w:hint="eastAsia" w:ascii="仿宋_GB2312" w:hAnsi="宋体" w:eastAsia="仿宋_GB2312"/>
          <w:color w:val="000000"/>
          <w:sz w:val="32"/>
          <w:szCs w:val="32"/>
          <w:highlight w:val="none"/>
          <w:lang w:val="en-US" w:eastAsia="zh-CN"/>
        </w:rPr>
        <w:t>五</w:t>
      </w:r>
      <w:r>
        <w:rPr>
          <w:rFonts w:hint="eastAsia" w:ascii="仿宋_GB2312" w:hAnsi="宋体" w:eastAsia="仿宋_GB2312"/>
          <w:color w:val="000000"/>
          <w:sz w:val="32"/>
          <w:szCs w:val="32"/>
          <w:highlight w:val="none"/>
        </w:rPr>
        <w:t>）本合同有效期内，遇到高温酷暑或者寒冷季节，甲方应当直接向保安员提供必备的降温、避暑或者御寒等福利条件。</w:t>
      </w:r>
    </w:p>
    <w:p w14:paraId="1B52C2B8">
      <w:pPr>
        <w:keepNext w:val="0"/>
        <w:keepLines w:val="0"/>
        <w:pageBreakBefore w:val="0"/>
        <w:widowControl w:val="0"/>
        <w:kinsoku/>
        <w:wordWrap/>
        <w:overflowPunct/>
        <w:topLinePunct w:val="0"/>
        <w:autoSpaceDE/>
        <w:autoSpaceDN/>
        <w:bidi w:val="0"/>
        <w:adjustRightInd/>
        <w:snapToGrid/>
        <w:spacing w:line="540" w:lineRule="exact"/>
        <w:ind w:firstLine="645"/>
        <w:textAlignment w:val="auto"/>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四、服务地点：</w:t>
      </w:r>
    </w:p>
    <w:p w14:paraId="08EB6E2B">
      <w:pPr>
        <w:keepNext w:val="0"/>
        <w:keepLines w:val="0"/>
        <w:pageBreakBefore w:val="0"/>
        <w:widowControl w:val="0"/>
        <w:kinsoku/>
        <w:wordWrap/>
        <w:overflowPunct/>
        <w:topLinePunct w:val="0"/>
        <w:autoSpaceDE/>
        <w:autoSpaceDN/>
        <w:bidi w:val="0"/>
        <w:adjustRightInd/>
        <w:snapToGrid/>
        <w:spacing w:line="540" w:lineRule="exact"/>
        <w:ind w:firstLine="645"/>
        <w:textAlignment w:val="auto"/>
        <w:rPr>
          <w:rFonts w:hint="eastAsia" w:ascii="仿宋_GB2312" w:hAnsi="宋体" w:eastAsia="仿宋_GB2312" w:cs="Times New Roman"/>
          <w:color w:val="000000"/>
          <w:sz w:val="32"/>
          <w:szCs w:val="32"/>
          <w:highlight w:val="none"/>
        </w:rPr>
      </w:pPr>
      <w:r>
        <w:rPr>
          <w:rFonts w:hint="eastAsia" w:ascii="仿宋_GB2312" w:hAnsi="宋体" w:eastAsia="仿宋_GB2312" w:cs="Times New Roman"/>
          <w:color w:val="000000"/>
          <w:sz w:val="32"/>
          <w:szCs w:val="32"/>
          <w:highlight w:val="none"/>
        </w:rPr>
        <w:t xml:space="preserve"> </w:t>
      </w:r>
      <w:r>
        <w:rPr>
          <w:rFonts w:hint="eastAsia" w:ascii="仿宋_GB2312" w:hAnsi="宋体" w:eastAsia="仿宋_GB2312" w:cs="Times New Roman"/>
          <w:color w:val="000000"/>
          <w:sz w:val="32"/>
          <w:szCs w:val="32"/>
          <w:highlight w:val="none"/>
          <w:u w:val="single"/>
        </w:rPr>
        <w:t xml:space="preserve"> </w:t>
      </w:r>
      <w:r>
        <w:rPr>
          <w:rFonts w:hint="eastAsia" w:ascii="仿宋_GB2312" w:hAnsi="宋体" w:eastAsia="仿宋_GB2312" w:cs="Times New Roman"/>
          <w:color w:val="000000"/>
          <w:sz w:val="32"/>
          <w:szCs w:val="32"/>
          <w:highlight w:val="none"/>
          <w:u w:val="single"/>
          <w:lang w:val="en-US" w:eastAsia="zh-CN"/>
        </w:rPr>
        <w:t>珠海</w:t>
      </w:r>
      <w:r>
        <w:rPr>
          <w:rFonts w:hint="eastAsia" w:ascii="仿宋_GB2312" w:hAnsi="宋体" w:eastAsia="仿宋_GB2312" w:cs="Times New Roman"/>
          <w:color w:val="000000"/>
          <w:sz w:val="32"/>
          <w:szCs w:val="32"/>
          <w:highlight w:val="none"/>
          <w:u w:val="single"/>
        </w:rPr>
        <w:t xml:space="preserve"> </w:t>
      </w:r>
      <w:r>
        <w:rPr>
          <w:rFonts w:hint="eastAsia" w:ascii="仿宋_GB2312" w:hAnsi="宋体" w:eastAsia="仿宋_GB2312" w:cs="Times New Roman"/>
          <w:color w:val="000000"/>
          <w:sz w:val="32"/>
          <w:szCs w:val="32"/>
          <w:highlight w:val="none"/>
          <w:lang w:val="en-US" w:eastAsia="zh-CN"/>
        </w:rPr>
        <w:t>市</w:t>
      </w:r>
      <w:r>
        <w:rPr>
          <w:rFonts w:hint="eastAsia" w:ascii="仿宋_GB2312" w:hAnsi="宋体" w:eastAsia="仿宋_GB2312" w:cs="Times New Roman"/>
          <w:color w:val="000000"/>
          <w:sz w:val="32"/>
          <w:szCs w:val="32"/>
          <w:highlight w:val="none"/>
          <w:u w:val="single"/>
        </w:rPr>
        <w:t xml:space="preserve"> </w:t>
      </w:r>
      <w:r>
        <w:rPr>
          <w:rFonts w:hint="eastAsia" w:ascii="仿宋_GB2312" w:hAnsi="宋体" w:eastAsia="仿宋_GB2312" w:cs="Times New Roman"/>
          <w:color w:val="000000"/>
          <w:sz w:val="32"/>
          <w:szCs w:val="32"/>
          <w:highlight w:val="none"/>
          <w:u w:val="single"/>
          <w:lang w:val="en-US" w:eastAsia="zh-CN"/>
        </w:rPr>
        <w:t xml:space="preserve">香洲 </w:t>
      </w:r>
      <w:r>
        <w:rPr>
          <w:rFonts w:hint="eastAsia" w:ascii="仿宋_GB2312" w:hAnsi="宋体" w:eastAsia="仿宋_GB2312" w:cs="Times New Roman"/>
          <w:color w:val="000000"/>
          <w:sz w:val="32"/>
          <w:szCs w:val="32"/>
          <w:highlight w:val="none"/>
          <w:lang w:val="en-US" w:eastAsia="zh-CN"/>
        </w:rPr>
        <w:t>区</w:t>
      </w:r>
      <w:r>
        <w:rPr>
          <w:rFonts w:hint="eastAsia" w:ascii="仿宋_GB2312" w:hAnsi="宋体" w:eastAsia="仿宋_GB2312" w:cs="Times New Roman"/>
          <w:color w:val="000000"/>
          <w:sz w:val="32"/>
          <w:szCs w:val="32"/>
          <w:highlight w:val="none"/>
          <w:u w:val="single"/>
        </w:rPr>
        <w:t xml:space="preserve"> </w:t>
      </w:r>
      <w:r>
        <w:rPr>
          <w:rFonts w:hint="eastAsia" w:ascii="仿宋_GB2312" w:hAnsi="宋体" w:eastAsia="仿宋_GB2312" w:cs="Times New Roman"/>
          <w:color w:val="000000"/>
          <w:sz w:val="32"/>
          <w:szCs w:val="32"/>
          <w:highlight w:val="none"/>
          <w:u w:val="single"/>
          <w:lang w:val="en-US" w:eastAsia="zh-CN"/>
        </w:rPr>
        <w:t xml:space="preserve"> 建工集团本部信访维稳接待办公室  </w:t>
      </w:r>
      <w:r>
        <w:rPr>
          <w:rFonts w:hint="eastAsia" w:ascii="仿宋_GB2312" w:hAnsi="宋体" w:eastAsia="仿宋_GB2312" w:cs="Times New Roman"/>
          <w:color w:val="000000"/>
          <w:sz w:val="32"/>
          <w:szCs w:val="32"/>
          <w:highlight w:val="none"/>
          <w:lang w:val="en-US" w:eastAsia="zh-CN"/>
        </w:rPr>
        <w:t xml:space="preserve">       </w:t>
      </w:r>
    </w:p>
    <w:p w14:paraId="29F178C3">
      <w:pPr>
        <w:keepNext w:val="0"/>
        <w:keepLines w:val="0"/>
        <w:pageBreakBefore w:val="0"/>
        <w:widowControl w:val="0"/>
        <w:kinsoku/>
        <w:wordWrap/>
        <w:overflowPunct/>
        <w:topLinePunct w:val="0"/>
        <w:autoSpaceDE/>
        <w:autoSpaceDN/>
        <w:bidi w:val="0"/>
        <w:adjustRightInd/>
        <w:snapToGrid/>
        <w:spacing w:line="540" w:lineRule="exact"/>
        <w:ind w:firstLine="630" w:firstLineChars="196"/>
        <w:textAlignment w:val="auto"/>
        <w:rPr>
          <w:rFonts w:hint="eastAsia" w:ascii="仿宋" w:hAnsi="仿宋" w:eastAsia="仿宋" w:cs="仿宋"/>
          <w:b/>
          <w:sz w:val="32"/>
          <w:szCs w:val="32"/>
          <w:highlight w:val="none"/>
        </w:rPr>
      </w:pPr>
      <w:r>
        <w:rPr>
          <w:rFonts w:hint="eastAsia" w:ascii="仿宋" w:hAnsi="仿宋" w:eastAsia="仿宋" w:cs="仿宋"/>
          <w:b/>
          <w:color w:val="000000"/>
          <w:sz w:val="32"/>
          <w:szCs w:val="32"/>
          <w:highlight w:val="none"/>
        </w:rPr>
        <w:t>五、</w:t>
      </w:r>
      <w:r>
        <w:rPr>
          <w:rFonts w:hint="eastAsia" w:ascii="仿宋" w:hAnsi="仿宋" w:eastAsia="仿宋" w:cs="仿宋"/>
          <w:b/>
          <w:sz w:val="32"/>
          <w:szCs w:val="32"/>
          <w:highlight w:val="none"/>
        </w:rPr>
        <w:t>双方的权利与义务</w:t>
      </w:r>
    </w:p>
    <w:p w14:paraId="7090ADE2">
      <w:pPr>
        <w:keepNext w:val="0"/>
        <w:keepLines w:val="0"/>
        <w:pageBreakBefore w:val="0"/>
        <w:widowControl w:val="0"/>
        <w:kinsoku/>
        <w:wordWrap/>
        <w:overflowPunct/>
        <w:topLinePunct w:val="0"/>
        <w:autoSpaceDE/>
        <w:autoSpaceDN/>
        <w:bidi w:val="0"/>
        <w:adjustRightInd/>
        <w:snapToGrid/>
        <w:spacing w:line="540" w:lineRule="exact"/>
        <w:ind w:firstLine="630" w:firstLineChars="196"/>
        <w:textAlignment w:val="auto"/>
        <w:rPr>
          <w:rFonts w:hint="eastAsia" w:ascii="仿宋_GB2312" w:hAnsi="宋体" w:eastAsia="仿宋_GB2312"/>
          <w:b/>
          <w:sz w:val="32"/>
          <w:szCs w:val="32"/>
          <w:highlight w:val="none"/>
        </w:rPr>
      </w:pPr>
      <w:r>
        <w:rPr>
          <w:rFonts w:hint="eastAsia" w:ascii="仿宋_GB2312" w:hAnsi="宋体" w:eastAsia="仿宋_GB2312"/>
          <w:b/>
          <w:sz w:val="32"/>
          <w:szCs w:val="32"/>
          <w:highlight w:val="none"/>
        </w:rPr>
        <w:t>（一）甲方的权利与义务</w:t>
      </w:r>
    </w:p>
    <w:p w14:paraId="69C3820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1</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甲方负责监督乙方保安员的日常考勤、绩效考核和劳动纪律管理，并定期将保安员的考核情况提交给乙方。有权对工作表现好或差的保安队（班）和保安员的奖惩提出意见和建议，并</w:t>
      </w:r>
      <w:r>
        <w:rPr>
          <w:rFonts w:hint="eastAsia" w:ascii="仿宋_GB2312" w:eastAsia="仿宋_GB2312"/>
          <w:color w:val="000000"/>
          <w:sz w:val="32"/>
          <w:szCs w:val="32"/>
          <w:highlight w:val="none"/>
        </w:rPr>
        <w:t>要求调换不合格的安保人员，</w:t>
      </w:r>
      <w:r>
        <w:rPr>
          <w:rFonts w:hint="eastAsia" w:ascii="仿宋_GB2312" w:hAnsi="宋体" w:eastAsia="仿宋_GB2312"/>
          <w:sz w:val="32"/>
          <w:szCs w:val="32"/>
          <w:highlight w:val="none"/>
        </w:rPr>
        <w:t>乙方核实后应予接受并作出调整。</w:t>
      </w:r>
    </w:p>
    <w:p w14:paraId="7C27D2C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2</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本合同履行期间，甲方不得安排包括但不限于当班、休假的保安员从事职责以外工作。因甲方强行指挥或者安排不当，致使保安员值班岗位空缺，造成的不良后果由甲方承担。</w:t>
      </w:r>
    </w:p>
    <w:p w14:paraId="41DEA16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3</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保安员在各个设定岗位值班，甲方有义务提供和保障保安员正常的安全、配套的工作条件。在带有腐蚀、污染因素及高空等对人体损害环境值班时，甲方应当向保安员提供必需的安全防护设施。</w:t>
      </w:r>
    </w:p>
    <w:p w14:paraId="4CA7D7E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4</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合同履行期间，甲方应当根据男、女保安员数量，免费为乙方保安员提供休息室、水、电、办公、通讯（对讲机）等基本工作和生活条件。</w:t>
      </w:r>
    </w:p>
    <w:p w14:paraId="3F64CC3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甲方有义务向乙方如实提供必要的相关信息</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包含但不限于</w:t>
      </w:r>
      <w:r>
        <w:rPr>
          <w:rFonts w:hint="eastAsia" w:ascii="仿宋_GB2312" w:eastAsia="仿宋_GB2312"/>
          <w:sz w:val="32"/>
          <w:szCs w:val="32"/>
          <w:highlight w:val="none"/>
          <w:lang w:eastAsia="zh-CN"/>
        </w:rPr>
        <w:t>各项规章制度和劳动纪律</w:t>
      </w:r>
      <w:r>
        <w:rPr>
          <w:rFonts w:hint="eastAsia" w:ascii="仿宋_GB2312" w:eastAsia="仿宋_GB2312"/>
          <w:sz w:val="32"/>
          <w:szCs w:val="32"/>
          <w:highlight w:val="none"/>
          <w:lang w:val="en-US" w:eastAsia="zh-CN"/>
        </w:rPr>
        <w:t>等</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，协助乙方解决工作中发生的各类问题。</w:t>
      </w:r>
    </w:p>
    <w:p w14:paraId="519D0F7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lang w:val="en-US" w:eastAsia="zh-CN"/>
        </w:rPr>
        <w:t>6</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当乙方发现甲方存有安全隐患并提出整改意见时，甲方应积极配合整改，及时消除隐患，确保安全。因甲方拒绝或不及时整改而造成的损失由甲方负责。</w:t>
      </w:r>
    </w:p>
    <w:p w14:paraId="3E7D5B1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highlight w:val="none"/>
        </w:rPr>
      </w:pPr>
      <w:r>
        <w:rPr>
          <w:rFonts w:hint="eastAsia" w:ascii="仿宋_GB2312" w:hAnsi="宋体" w:eastAsia="仿宋_GB2312"/>
          <w:sz w:val="32"/>
          <w:szCs w:val="32"/>
          <w:highlight w:val="none"/>
          <w:lang w:val="en-US" w:eastAsia="zh-CN"/>
        </w:rPr>
        <w:t>7</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甲方负责</w:t>
      </w:r>
      <w:r>
        <w:rPr>
          <w:rFonts w:hint="eastAsia" w:ascii="仿宋_GB2312" w:hAnsi="宋体" w:eastAsia="仿宋_GB2312"/>
          <w:sz w:val="32"/>
          <w:szCs w:val="32"/>
          <w:highlight w:val="none"/>
          <w:lang w:val="en-US" w:eastAsia="zh-CN"/>
        </w:rPr>
        <w:t>按照国家相关法律法规规定的标准，</w:t>
      </w:r>
      <w:r>
        <w:rPr>
          <w:rFonts w:hint="eastAsia" w:ascii="仿宋_GB2312" w:hAnsi="宋体" w:eastAsia="仿宋_GB2312"/>
          <w:sz w:val="32"/>
          <w:szCs w:val="32"/>
          <w:highlight w:val="none"/>
        </w:rPr>
        <w:t>支付乙方保安员除正常工作时间外按照甲方要求（如处置突发事件、专项整治或伏击行动、文娱庆典、体育赛事、招聘会及其他临时活动）临时加班所产生的工作费用，并为保安员免费提供加班期间的餐饮。</w:t>
      </w:r>
    </w:p>
    <w:p w14:paraId="0F7F75B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乙方保安员因工致伤、致残、死亡的，按乙方与保安员之间签订的</w:t>
      </w:r>
      <w:r>
        <w:rPr>
          <w:rFonts w:hint="eastAsia" w:ascii="仿宋_GB2312" w:eastAsia="仿宋_GB2312"/>
          <w:sz w:val="32"/>
          <w:szCs w:val="32"/>
          <w:highlight w:val="none"/>
          <w:lang w:val="en-US" w:eastAsia="zh-CN"/>
        </w:rPr>
        <w:t>劳动合同</w:t>
      </w:r>
      <w:r>
        <w:rPr>
          <w:rFonts w:hint="eastAsia" w:ascii="仿宋_GB2312" w:eastAsia="仿宋_GB2312"/>
          <w:sz w:val="32"/>
          <w:szCs w:val="32"/>
          <w:highlight w:val="none"/>
        </w:rPr>
        <w:t>另行处理</w:t>
      </w:r>
      <w:r>
        <w:rPr>
          <w:rFonts w:hint="eastAsia" w:ascii="仿宋_GB2312" w:eastAsia="仿宋_GB2312"/>
          <w:sz w:val="32"/>
          <w:szCs w:val="32"/>
          <w:highlight w:val="none"/>
          <w:lang w:eastAsia="zh-CN"/>
        </w:rPr>
        <w:t>（甲方</w:t>
      </w:r>
      <w:r>
        <w:rPr>
          <w:rFonts w:hint="eastAsia" w:ascii="仿宋_GB2312" w:eastAsia="仿宋_GB2312"/>
          <w:sz w:val="32"/>
          <w:szCs w:val="32"/>
          <w:highlight w:val="none"/>
          <w:lang w:val="en-US" w:eastAsia="zh-CN"/>
        </w:rPr>
        <w:t>配合</w:t>
      </w:r>
      <w:r>
        <w:rPr>
          <w:rFonts w:hint="eastAsia" w:ascii="仿宋_GB2312" w:eastAsia="仿宋_GB2312"/>
          <w:sz w:val="32"/>
          <w:szCs w:val="32"/>
          <w:highlight w:val="none"/>
          <w:lang w:eastAsia="zh-CN"/>
        </w:rPr>
        <w:t>提供资料，由乙方申报工伤或商业险。如乙方无法正常申报工伤、商业险所产生后果，由</w:t>
      </w:r>
      <w:r>
        <w:rPr>
          <w:rFonts w:hint="eastAsia" w:ascii="仿宋_GB2312" w:eastAsia="仿宋_GB2312"/>
          <w:sz w:val="32"/>
          <w:szCs w:val="32"/>
          <w:highlight w:val="none"/>
          <w:lang w:val="en-US" w:eastAsia="zh-CN"/>
        </w:rPr>
        <w:t>乙</w:t>
      </w:r>
      <w:r>
        <w:rPr>
          <w:rFonts w:hint="eastAsia" w:ascii="仿宋_GB2312" w:eastAsia="仿宋_GB2312"/>
          <w:sz w:val="32"/>
          <w:szCs w:val="32"/>
          <w:highlight w:val="none"/>
          <w:lang w:eastAsia="zh-CN"/>
        </w:rPr>
        <w:t>方承担）</w:t>
      </w:r>
      <w:r>
        <w:rPr>
          <w:rFonts w:hint="eastAsia" w:ascii="仿宋_GB2312" w:eastAsia="仿宋_GB2312"/>
          <w:sz w:val="32"/>
          <w:szCs w:val="32"/>
          <w:highlight w:val="none"/>
        </w:rPr>
        <w:t>，甲方本着人道主义精神，视情况可酌情给予补助。如是甲方的原因导致，甲方应依据相关部门认定的责任范围及损失额度负相应的责任。</w:t>
      </w:r>
    </w:p>
    <w:p w14:paraId="1EDAAB7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9.乙方应妥善处理自己内部的劳资关系，不得因此造成劳动合同纠纷、工伤待遇纠纷、劳资纠纷、第三方投诉及可能的索赔及费用；如果发生，乙方必须会同甲方或其他有关政府部门作好应诉和调解工作，并承担由此给甲方造成的一切损失。</w:t>
      </w:r>
    </w:p>
    <w:p w14:paraId="3D21F8A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10.除本合同另有约定外，乙方在本合同履行过程中，因故意、过失、意外事件或第三方因素等，造成甲方、任何第三方人身或财产损害，均由乙方承担全部责任，包括但不限于赔偿、违约金、罚款及其他相关费用，乙方对此同意且无异议。</w:t>
      </w:r>
    </w:p>
    <w:p w14:paraId="49BCC868">
      <w:pPr>
        <w:keepNext w:val="0"/>
        <w:keepLines w:val="0"/>
        <w:pageBreakBefore w:val="0"/>
        <w:widowControl w:val="0"/>
        <w:kinsoku/>
        <w:wordWrap/>
        <w:overflowPunct/>
        <w:topLinePunct w:val="0"/>
        <w:autoSpaceDE/>
        <w:autoSpaceDN/>
        <w:bidi w:val="0"/>
        <w:adjustRightInd/>
        <w:snapToGrid/>
        <w:spacing w:line="540" w:lineRule="exact"/>
        <w:ind w:firstLine="630" w:firstLineChars="196"/>
        <w:textAlignment w:val="auto"/>
        <w:rPr>
          <w:rFonts w:hint="eastAsia" w:ascii="仿宋_GB2312" w:hAnsi="宋体" w:eastAsia="仿宋_GB2312"/>
          <w:b/>
          <w:sz w:val="32"/>
          <w:szCs w:val="32"/>
          <w:highlight w:val="none"/>
        </w:rPr>
      </w:pPr>
      <w:r>
        <w:rPr>
          <w:rFonts w:hint="eastAsia" w:ascii="仿宋_GB2312" w:hAnsi="宋体" w:eastAsia="仿宋_GB2312"/>
          <w:b/>
          <w:sz w:val="32"/>
          <w:szCs w:val="32"/>
          <w:highlight w:val="none"/>
        </w:rPr>
        <w:t>（二）乙方的权利与义务</w:t>
      </w:r>
    </w:p>
    <w:p w14:paraId="587FF7A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1</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乙方负责保安员的招聘，岗前教育，技能、体能等培训，并承担相关费用。甲方可根据自身所需的安全保卫工作特性，向乙方提出具体要求，由乙方组织具有专门技能特长的保安员队伍上岗。</w:t>
      </w:r>
    </w:p>
    <w:p w14:paraId="55AF046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宋体" w:hAnsi="宋体"/>
          <w:color w:val="000000"/>
          <w:sz w:val="24"/>
          <w:highlight w:val="none"/>
        </w:rPr>
      </w:pPr>
      <w:r>
        <w:rPr>
          <w:rFonts w:hint="eastAsia" w:ascii="仿宋_GB2312" w:hAnsi="宋体" w:eastAsia="仿宋_GB2312"/>
          <w:sz w:val="32"/>
          <w:szCs w:val="32"/>
          <w:highlight w:val="none"/>
        </w:rPr>
        <w:t>2</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乙方向甲方派遣的保安员应当准军事化管理，严格遵守甲方各项规章制度和劳动纪律；着</w:t>
      </w:r>
      <w:r>
        <w:rPr>
          <w:rFonts w:hint="eastAsia" w:ascii="仿宋_GB2312" w:hAnsi="宋体" w:eastAsia="仿宋_GB2312"/>
          <w:sz w:val="32"/>
          <w:szCs w:val="32"/>
          <w:highlight w:val="none"/>
          <w:lang w:val="en-US" w:eastAsia="zh-CN"/>
        </w:rPr>
        <w:t>乙方</w:t>
      </w:r>
      <w:r>
        <w:rPr>
          <w:rFonts w:hint="eastAsia" w:ascii="仿宋_GB2312" w:hAnsi="宋体" w:eastAsia="仿宋_GB2312"/>
          <w:sz w:val="32"/>
          <w:szCs w:val="32"/>
          <w:highlight w:val="none"/>
        </w:rPr>
        <w:t>统一保安制服，着装整齐、端庄；执勤时应当热情、快捷、细致、警觉；严格履行交、接班手续。</w:t>
      </w:r>
    </w:p>
    <w:p w14:paraId="447525A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3</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乙方负责保安队伍管理、勤务、考核机制的建立和执行。</w:t>
      </w:r>
    </w:p>
    <w:p w14:paraId="7F11E65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trike/>
          <w:color w:val="FF0000"/>
          <w:sz w:val="32"/>
          <w:szCs w:val="32"/>
          <w:highlight w:val="none"/>
        </w:rPr>
      </w:pPr>
      <w:r>
        <w:rPr>
          <w:rFonts w:hint="eastAsia" w:ascii="仿宋_GB2312" w:hAnsi="宋体" w:eastAsia="仿宋_GB2312"/>
          <w:sz w:val="32"/>
          <w:szCs w:val="32"/>
          <w:highlight w:val="none"/>
        </w:rPr>
        <w:t>4</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乙方负责与保安员签订劳动合同，劳动关系归乙方。</w:t>
      </w:r>
    </w:p>
    <w:p w14:paraId="52DD649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5</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乙方保安员所维护的是甲方正当的合法的生产经营环境和秩序。合同履行期间，对甲方组织安排保安员从事违反法律、法规和规章的工作或者相关活动，乙方有权拒绝参与。如果明显发现甲方从事违法甚至犯罪活动，乙方有义务向相关部门举报。</w:t>
      </w:r>
    </w:p>
    <w:p w14:paraId="58D4051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olor w:val="FF0000"/>
          <w:sz w:val="32"/>
          <w:szCs w:val="32"/>
          <w:highlight w:val="none"/>
        </w:rPr>
      </w:pPr>
      <w:r>
        <w:rPr>
          <w:rFonts w:hint="eastAsia" w:ascii="仿宋_GB2312" w:hAnsi="宋体" w:eastAsia="仿宋_GB2312"/>
          <w:sz w:val="32"/>
          <w:szCs w:val="32"/>
          <w:highlight w:val="none"/>
        </w:rPr>
        <w:t>6</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乙方有</w:t>
      </w:r>
      <w:r>
        <w:rPr>
          <w:rFonts w:hint="eastAsia" w:ascii="仿宋_GB2312" w:hAnsi="宋体" w:eastAsia="仿宋_GB2312"/>
          <w:sz w:val="32"/>
          <w:szCs w:val="32"/>
          <w:highlight w:val="none"/>
          <w:lang w:val="en-US" w:eastAsia="zh-CN"/>
        </w:rPr>
        <w:t>权</w:t>
      </w:r>
      <w:r>
        <w:rPr>
          <w:rFonts w:hint="eastAsia" w:ascii="仿宋_GB2312" w:hAnsi="宋体" w:eastAsia="仿宋_GB2312"/>
          <w:sz w:val="32"/>
          <w:szCs w:val="32"/>
          <w:highlight w:val="none"/>
        </w:rPr>
        <w:t>按照本合同约定向甲方收取保安</w:t>
      </w:r>
      <w:r>
        <w:rPr>
          <w:rFonts w:hint="eastAsia" w:ascii="仿宋_GB2312" w:hAnsi="宋体" w:eastAsia="仿宋_GB2312"/>
          <w:sz w:val="32"/>
          <w:szCs w:val="32"/>
          <w:highlight w:val="none"/>
          <w:lang w:val="en-US" w:eastAsia="zh-CN"/>
        </w:rPr>
        <w:t>服务费</w:t>
      </w:r>
      <w:r>
        <w:rPr>
          <w:rFonts w:hint="eastAsia" w:ascii="仿宋_GB2312" w:hAnsi="宋体" w:eastAsia="仿宋_GB2312"/>
          <w:sz w:val="32"/>
          <w:szCs w:val="32"/>
          <w:highlight w:val="none"/>
        </w:rPr>
        <w:t>。</w:t>
      </w:r>
    </w:p>
    <w:p w14:paraId="1BC0F89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7</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乙方要认真落实安全保卫责任制和安全防范措施，督促保安员积极做好防火、防盗、防破坏和防自然灾害事故等“四防”工作；积极协助甲方保卫部门及时处理各种不安全事端和突发事件，调解处理各类治安纠纷。</w:t>
      </w:r>
    </w:p>
    <w:p w14:paraId="24BAAF6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8</w:t>
      </w:r>
      <w:r>
        <w:rPr>
          <w:rFonts w:hint="eastAsia" w:ascii="仿宋_GB2312" w:hAnsi="宋体" w:eastAsia="仿宋_GB2312"/>
          <w:sz w:val="32"/>
          <w:szCs w:val="32"/>
          <w:highlight w:val="none"/>
          <w:lang w:val="en-US" w:eastAsia="zh-CN"/>
        </w:rPr>
        <w:t>.</w:t>
      </w:r>
      <w:r>
        <w:rPr>
          <w:rFonts w:hint="eastAsia" w:ascii="仿宋_GB2312" w:hAnsi="宋体" w:eastAsia="仿宋_GB2312"/>
          <w:sz w:val="32"/>
          <w:szCs w:val="32"/>
          <w:highlight w:val="none"/>
        </w:rPr>
        <w:t>乙方保安员要服从甲方保卫部门的监督和指挥，遵守企业内部相关规章制度，接受甲乙双方的双重领导。如果在执行过程中双方的制度规范发生矛盾冲突，应及时汇报乙方直属领导，由甲乙双方协商解决。</w:t>
      </w:r>
    </w:p>
    <w:p w14:paraId="0CF88DAA">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lang w:val="en-US" w:eastAsia="zh-CN"/>
        </w:rPr>
        <w:t>9.</w:t>
      </w:r>
      <w:r>
        <w:rPr>
          <w:rFonts w:hint="eastAsia" w:ascii="仿宋_GB2312" w:hAnsi="宋体" w:eastAsia="仿宋_GB2312"/>
          <w:sz w:val="32"/>
          <w:szCs w:val="32"/>
          <w:highlight w:val="none"/>
        </w:rPr>
        <w:t>乙方</w:t>
      </w:r>
      <w:r>
        <w:rPr>
          <w:rFonts w:hint="eastAsia" w:ascii="仿宋_GB2312" w:hAnsi="宋体" w:eastAsia="仿宋_GB2312"/>
          <w:strike w:val="0"/>
          <w:dstrike w:val="0"/>
          <w:sz w:val="32"/>
          <w:szCs w:val="32"/>
          <w:highlight w:val="none"/>
        </w:rPr>
        <w:t>须确保在甲方企业内，</w:t>
      </w:r>
      <w:r>
        <w:rPr>
          <w:rFonts w:hint="eastAsia" w:ascii="仿宋_GB2312" w:hAnsi="宋体" w:eastAsia="仿宋_GB2312"/>
          <w:strike w:val="0"/>
          <w:sz w:val="32"/>
          <w:szCs w:val="32"/>
          <w:highlight w:val="none"/>
        </w:rPr>
        <w:t>按照双方商定的岗位配置</w:t>
      </w:r>
      <w:r>
        <w:rPr>
          <w:rFonts w:hint="eastAsia" w:ascii="仿宋_GB2312" w:hAnsi="宋体" w:eastAsia="仿宋_GB2312"/>
          <w:strike w:val="0"/>
          <w:dstrike w:val="0"/>
          <w:sz w:val="32"/>
          <w:szCs w:val="32"/>
          <w:highlight w:val="none"/>
        </w:rPr>
        <w:t>足数</w:t>
      </w:r>
      <w:r>
        <w:rPr>
          <w:rFonts w:hint="eastAsia" w:ascii="仿宋_GB2312" w:hAnsi="宋体" w:eastAsia="仿宋_GB2312"/>
          <w:strike w:val="0"/>
          <w:sz w:val="32"/>
          <w:szCs w:val="32"/>
          <w:highlight w:val="none"/>
        </w:rPr>
        <w:t>保安员</w:t>
      </w:r>
      <w:r>
        <w:rPr>
          <w:rFonts w:hint="eastAsia" w:ascii="仿宋_GB2312" w:hAnsi="宋体" w:eastAsia="仿宋_GB2312"/>
          <w:strike w:val="0"/>
          <w:dstrike w:val="0"/>
          <w:sz w:val="32"/>
          <w:szCs w:val="32"/>
          <w:highlight w:val="none"/>
          <w:u w:val="none"/>
        </w:rPr>
        <w:t>，并实行轮休制度，同时保证保安员每周休息1天，每人每月休息不少于4天</w:t>
      </w:r>
      <w:r>
        <w:rPr>
          <w:rFonts w:hint="eastAsia" w:ascii="仿宋_GB2312" w:hAnsi="宋体" w:eastAsia="仿宋_GB2312"/>
          <w:sz w:val="32"/>
          <w:szCs w:val="32"/>
          <w:highlight w:val="none"/>
        </w:rPr>
        <w:t>。</w:t>
      </w:r>
    </w:p>
    <w:p w14:paraId="6FC64C37">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10、</w:t>
      </w:r>
      <w:r>
        <w:rPr>
          <w:rFonts w:hint="eastAsia" w:ascii="仿宋_GB2312" w:hAnsi="宋体" w:eastAsia="仿宋_GB2312"/>
          <w:sz w:val="32"/>
          <w:szCs w:val="32"/>
          <w:highlight w:val="none"/>
        </w:rPr>
        <w:t>乙方保安员</w:t>
      </w:r>
      <w:r>
        <w:rPr>
          <w:rFonts w:hint="eastAsia" w:ascii="仿宋_GB2312" w:hAnsi="宋体" w:eastAsia="仿宋_GB2312"/>
          <w:sz w:val="32"/>
          <w:szCs w:val="32"/>
          <w:highlight w:val="none"/>
          <w:lang w:val="en-US" w:eastAsia="zh-CN"/>
        </w:rPr>
        <w:t>的核心安保职责包括但不限于：对甲方指定的办公区域进行定时与不定时巡查；维护指定区域的人员秩序；预防及处置盗窃、破坏、火灾等安全突发事件；接待、登记与引导来访人员；在甲方举办重要会议或活动期间提供额外的秩序维护与安全保障。除前款核心职责外，辅助性行政任务（如：代驾车辆接送、协助进行非安保专业的设施故障初步报修等）。</w:t>
      </w:r>
    </w:p>
    <w:p w14:paraId="28575196">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11、</w:t>
      </w:r>
      <w:r>
        <w:rPr>
          <w:rFonts w:hint="eastAsia" w:ascii="仿宋_GB2312" w:hAnsi="宋体" w:eastAsia="仿宋_GB2312"/>
          <w:sz w:val="32"/>
          <w:szCs w:val="32"/>
          <w:highlight w:val="none"/>
        </w:rPr>
        <w:t>乙方保安员</w:t>
      </w:r>
      <w:r>
        <w:rPr>
          <w:rFonts w:hint="eastAsia" w:ascii="仿宋_GB2312" w:hAnsi="宋体" w:eastAsia="仿宋_GB2312"/>
          <w:sz w:val="32"/>
          <w:szCs w:val="32"/>
          <w:highlight w:val="none"/>
          <w:lang w:val="en-US" w:eastAsia="zh-CN"/>
        </w:rPr>
        <w:t>须服从加班安排，具体人员与加班时长以甲方正式通知为准。</w:t>
      </w:r>
    </w:p>
    <w:p w14:paraId="10B33A1C">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12、乙方派驻保安员需持有有效驾照，具备良好的机动车驾驶技能和安全驾驶记录。</w:t>
      </w:r>
    </w:p>
    <w:p w14:paraId="6CFBAC7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13.</w:t>
      </w:r>
      <w:r>
        <w:rPr>
          <w:rFonts w:hint="eastAsia" w:ascii="仿宋_GB2312" w:hAnsi="宋体" w:eastAsia="仿宋_GB2312"/>
          <w:sz w:val="32"/>
          <w:szCs w:val="32"/>
          <w:highlight w:val="none"/>
        </w:rPr>
        <w:t>乙方配置防暴用钢叉、</w:t>
      </w:r>
      <w:r>
        <w:rPr>
          <w:rFonts w:hint="eastAsia" w:ascii="仿宋_GB2312" w:hAnsi="宋体" w:eastAsia="仿宋_GB2312"/>
          <w:sz w:val="32"/>
          <w:szCs w:val="32"/>
          <w:highlight w:val="none"/>
          <w:lang w:val="en-US" w:eastAsia="zh-CN"/>
        </w:rPr>
        <w:t>伸缩棍</w:t>
      </w:r>
      <w:r>
        <w:rPr>
          <w:rFonts w:hint="eastAsia" w:ascii="仿宋_GB2312" w:hAnsi="宋体" w:eastAsia="仿宋_GB2312"/>
          <w:sz w:val="32"/>
          <w:szCs w:val="32"/>
          <w:highlight w:val="none"/>
        </w:rPr>
        <w:t>、胡椒喷雾、头盔等装备，负责日</w:t>
      </w:r>
      <w:r>
        <w:rPr>
          <w:rFonts w:hint="eastAsia" w:ascii="仿宋_GB2312" w:hAnsi="宋体" w:eastAsia="仿宋_GB2312"/>
          <w:sz w:val="32"/>
          <w:szCs w:val="32"/>
          <w:highlight w:val="none"/>
          <w:lang w:val="en-US" w:eastAsia="zh-CN"/>
        </w:rPr>
        <w:t>常</w:t>
      </w:r>
      <w:r>
        <w:rPr>
          <w:rFonts w:hint="eastAsia" w:ascii="仿宋_GB2312" w:hAnsi="宋体" w:eastAsia="仿宋_GB2312"/>
          <w:sz w:val="32"/>
          <w:szCs w:val="32"/>
          <w:highlight w:val="none"/>
        </w:rPr>
        <w:t>保养、维修和更换。</w:t>
      </w:r>
    </w:p>
    <w:p w14:paraId="283F0556">
      <w:pPr>
        <w:keepNext w:val="0"/>
        <w:keepLines w:val="0"/>
        <w:pageBreakBefore w:val="0"/>
        <w:widowControl w:val="0"/>
        <w:kinsoku/>
        <w:wordWrap/>
        <w:overflowPunct/>
        <w:topLinePunct w:val="0"/>
        <w:autoSpaceDE/>
        <w:autoSpaceDN/>
        <w:bidi w:val="0"/>
        <w:adjustRightInd/>
        <w:snapToGrid/>
        <w:spacing w:line="540" w:lineRule="exact"/>
        <w:ind w:firstLine="630" w:firstLineChars="196"/>
        <w:textAlignment w:val="auto"/>
        <w:rPr>
          <w:rFonts w:hint="eastAsia" w:ascii="仿宋" w:hAnsi="仿宋" w:eastAsia="仿宋" w:cs="仿宋"/>
          <w:b/>
          <w:bCs/>
          <w:color w:val="000000"/>
          <w:kern w:val="0"/>
          <w:sz w:val="32"/>
          <w:szCs w:val="28"/>
          <w:highlight w:val="none"/>
        </w:rPr>
      </w:pPr>
      <w:r>
        <w:rPr>
          <w:rFonts w:hint="eastAsia" w:ascii="仿宋" w:hAnsi="仿宋" w:eastAsia="仿宋" w:cs="仿宋"/>
          <w:b/>
          <w:bCs/>
          <w:color w:val="000000"/>
          <w:kern w:val="0"/>
          <w:sz w:val="32"/>
          <w:szCs w:val="28"/>
          <w:highlight w:val="none"/>
        </w:rPr>
        <w:t>六、保密条款</w:t>
      </w:r>
      <w:r>
        <w:rPr>
          <w:rFonts w:hint="eastAsia" w:ascii="仿宋" w:hAnsi="仿宋" w:eastAsia="仿宋" w:cs="仿宋"/>
          <w:b/>
          <w:bCs/>
          <w:color w:val="000000"/>
          <w:kern w:val="0"/>
          <w:sz w:val="32"/>
          <w:szCs w:val="28"/>
          <w:highlight w:val="none"/>
          <w:lang w:val="en-US" w:eastAsia="zh-CN"/>
        </w:rPr>
        <w:t>及</w:t>
      </w:r>
      <w:r>
        <w:rPr>
          <w:rFonts w:hint="eastAsia" w:ascii="仿宋" w:hAnsi="仿宋" w:eastAsia="仿宋" w:cs="仿宋"/>
          <w:b/>
          <w:bCs/>
          <w:color w:val="000000"/>
          <w:kern w:val="0"/>
          <w:sz w:val="32"/>
          <w:szCs w:val="28"/>
          <w:highlight w:val="none"/>
        </w:rPr>
        <w:t>廉洁条款</w:t>
      </w:r>
    </w:p>
    <w:p w14:paraId="561FF17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一）甲、乙双方任何一方均应如同保守己方秘密一样保守另一方向其披露的保密信息，有义务不向第三方披露本合同的条款和内容。若披露方书面要求，接收方应将包含保密信息的文件在约定时限内归还披露方，并不得保留任何复印文件。保密义务不因本合同的终止而终止。</w:t>
      </w:r>
    </w:p>
    <w:p w14:paraId="49A42C4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（二）甲、乙双方应按照公平、公正、公开和诚实守信的原则开展业务活动，不得以任何形式谋取不正当利益，或者实施影响业务行为廉洁性的行为。</w:t>
      </w:r>
    </w:p>
    <w:p w14:paraId="1182CA50">
      <w:pPr>
        <w:keepNext w:val="0"/>
        <w:keepLines w:val="0"/>
        <w:pageBreakBefore w:val="0"/>
        <w:widowControl w:val="0"/>
        <w:kinsoku/>
        <w:wordWrap/>
        <w:overflowPunct/>
        <w:topLinePunct w:val="0"/>
        <w:autoSpaceDE/>
        <w:autoSpaceDN/>
        <w:bidi w:val="0"/>
        <w:adjustRightInd/>
        <w:snapToGrid/>
        <w:spacing w:line="540" w:lineRule="exact"/>
        <w:ind w:firstLine="630" w:firstLineChars="196"/>
        <w:textAlignment w:val="auto"/>
        <w:rPr>
          <w:rFonts w:hint="eastAsia" w:ascii="仿宋" w:hAnsi="仿宋" w:eastAsia="仿宋" w:cs="仿宋"/>
          <w:b/>
          <w:bCs/>
          <w:color w:val="000000"/>
          <w:kern w:val="0"/>
          <w:sz w:val="32"/>
          <w:szCs w:val="28"/>
          <w:highlight w:val="none"/>
          <w:lang w:val="en-US" w:eastAsia="zh-CN"/>
        </w:rPr>
      </w:pPr>
      <w:r>
        <w:rPr>
          <w:rFonts w:hint="eastAsia" w:ascii="仿宋" w:hAnsi="仿宋" w:eastAsia="仿宋" w:cs="仿宋"/>
          <w:b/>
          <w:bCs/>
          <w:color w:val="000000"/>
          <w:kern w:val="0"/>
          <w:sz w:val="32"/>
          <w:szCs w:val="28"/>
          <w:highlight w:val="none"/>
          <w:lang w:val="en-US" w:eastAsia="zh-CN"/>
        </w:rPr>
        <w:t>七、违约责任</w:t>
      </w:r>
    </w:p>
    <w:p w14:paraId="5599F05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一</w:t>
      </w:r>
      <w:r>
        <w:rPr>
          <w:rFonts w:hint="eastAsia" w:ascii="仿宋_GB2312" w:hAnsi="宋体" w:eastAsia="仿宋_GB2312"/>
          <w:sz w:val="32"/>
          <w:szCs w:val="32"/>
          <w:highlight w:val="none"/>
        </w:rPr>
        <w:t>）本合同系甲、乙双方共同协商一致而订立，双方理应共同信守。任何一方违反合同约定，应当承担违约责任。因违约行为致使对方造成经济损失的，应当承担民事赔偿责任。</w:t>
      </w:r>
    </w:p>
    <w:p w14:paraId="5D9C62C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olor w:val="000000"/>
          <w:sz w:val="32"/>
          <w:szCs w:val="32"/>
          <w:highlight w:val="none"/>
        </w:rPr>
      </w:pP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二</w:t>
      </w:r>
      <w:r>
        <w:rPr>
          <w:rFonts w:hint="eastAsia" w:ascii="仿宋_GB2312" w:hAnsi="宋体" w:eastAsia="仿宋_GB2312"/>
          <w:sz w:val="32"/>
          <w:szCs w:val="32"/>
          <w:highlight w:val="none"/>
        </w:rPr>
        <w:t>）甲方应当按时、足额履行服务费用支付义务。逾期支付的，</w:t>
      </w:r>
      <w:r>
        <w:rPr>
          <w:rFonts w:hint="eastAsia" w:ascii="仿宋_GB2312" w:hAnsi="宋体" w:eastAsia="仿宋_GB2312"/>
          <w:color w:val="000000"/>
          <w:sz w:val="32"/>
          <w:szCs w:val="32"/>
          <w:highlight w:val="none"/>
        </w:rPr>
        <w:t>应当以拖欠的服务费为基数，按日</w:t>
      </w:r>
      <w:r>
        <w:rPr>
          <w:rFonts w:hint="eastAsia" w:ascii="仿宋_GB2312" w:hAnsi="宋体" w:eastAsia="仿宋_GB2312"/>
          <w:color w:val="000000"/>
          <w:sz w:val="32"/>
          <w:szCs w:val="32"/>
          <w:highlight w:val="none"/>
          <w:lang w:val="en-US" w:eastAsia="zh-CN"/>
        </w:rPr>
        <w:t>万</w:t>
      </w:r>
      <w:r>
        <w:rPr>
          <w:rFonts w:hint="eastAsia" w:ascii="仿宋_GB2312" w:hAnsi="宋体" w:eastAsia="仿宋_GB2312"/>
          <w:color w:val="000000"/>
          <w:sz w:val="32"/>
          <w:szCs w:val="32"/>
          <w:highlight w:val="none"/>
        </w:rPr>
        <w:t>分之</w:t>
      </w:r>
      <w:r>
        <w:rPr>
          <w:rFonts w:hint="eastAsia" w:ascii="仿宋_GB2312" w:hAnsi="宋体" w:eastAsia="仿宋_GB2312"/>
          <w:color w:val="000000"/>
          <w:sz w:val="32"/>
          <w:szCs w:val="32"/>
          <w:highlight w:val="none"/>
          <w:lang w:val="en-US" w:eastAsia="zh-CN"/>
        </w:rPr>
        <w:t>一</w:t>
      </w:r>
      <w:r>
        <w:rPr>
          <w:rFonts w:hint="eastAsia" w:ascii="仿宋_GB2312" w:hAnsi="宋体" w:eastAsia="仿宋_GB2312"/>
          <w:color w:val="000000"/>
          <w:sz w:val="32"/>
          <w:szCs w:val="32"/>
          <w:highlight w:val="none"/>
        </w:rPr>
        <w:t>的标准向乙方支付违约金；连续拖欠</w:t>
      </w:r>
      <w:r>
        <w:rPr>
          <w:rFonts w:hint="eastAsia" w:ascii="仿宋_GB2312" w:hAnsi="宋体" w:eastAsia="仿宋_GB2312"/>
          <w:color w:val="000000"/>
          <w:sz w:val="32"/>
          <w:szCs w:val="32"/>
          <w:highlight w:val="none"/>
          <w:lang w:val="en-US" w:eastAsia="zh-CN"/>
        </w:rPr>
        <w:t>壹</w:t>
      </w:r>
      <w:r>
        <w:rPr>
          <w:rFonts w:hint="eastAsia" w:ascii="仿宋_GB2312" w:hAnsi="宋体" w:eastAsia="仿宋_GB2312"/>
          <w:color w:val="000000"/>
          <w:sz w:val="32"/>
          <w:szCs w:val="32"/>
          <w:highlight w:val="none"/>
        </w:rPr>
        <w:t>个月以上</w:t>
      </w:r>
      <w:r>
        <w:rPr>
          <w:rFonts w:hint="eastAsia" w:ascii="仿宋_GB2312" w:hAnsi="宋体" w:eastAsia="仿宋_GB2312"/>
          <w:color w:val="000000"/>
          <w:sz w:val="32"/>
          <w:szCs w:val="32"/>
          <w:highlight w:val="none"/>
          <w:lang w:val="en-US" w:eastAsia="zh-CN"/>
        </w:rPr>
        <w:t>的</w:t>
      </w:r>
      <w:r>
        <w:rPr>
          <w:rFonts w:hint="eastAsia" w:ascii="仿宋_GB2312" w:hAnsi="宋体" w:eastAsia="仿宋_GB2312"/>
          <w:color w:val="000000"/>
          <w:sz w:val="32"/>
          <w:szCs w:val="32"/>
          <w:highlight w:val="none"/>
        </w:rPr>
        <w:t>，乙方有权单方解除合同，撤离派驻的人员和设备且无须承担违约责任。甲方除应将欠付的服务费和逾期付款违约金继续结清外，还应当另向乙方按照壹个月服务费标的支付违约金。</w:t>
      </w:r>
    </w:p>
    <w:p w14:paraId="420AE62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三</w:t>
      </w: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除双方协商一致外，</w:t>
      </w:r>
      <w:r>
        <w:rPr>
          <w:rFonts w:hint="eastAsia" w:ascii="仿宋_GB2312" w:hAnsi="宋体" w:eastAsia="仿宋_GB2312"/>
          <w:sz w:val="32"/>
          <w:szCs w:val="32"/>
          <w:highlight w:val="none"/>
        </w:rPr>
        <w:t>任何一方无正当理由，单方变更或者解除合同，应当向对方按照</w:t>
      </w:r>
      <w:r>
        <w:rPr>
          <w:rFonts w:hint="eastAsia" w:ascii="仿宋_GB2312" w:hAnsi="宋体" w:eastAsia="仿宋_GB2312"/>
          <w:sz w:val="32"/>
          <w:szCs w:val="32"/>
          <w:highlight w:val="none"/>
          <w:u w:val="single"/>
          <w:lang w:val="en-US" w:eastAsia="zh-CN"/>
        </w:rPr>
        <w:t>壹个</w:t>
      </w:r>
      <w:r>
        <w:rPr>
          <w:rFonts w:hint="eastAsia" w:ascii="仿宋_GB2312" w:hAnsi="宋体" w:eastAsia="仿宋_GB2312"/>
          <w:sz w:val="32"/>
          <w:szCs w:val="32"/>
          <w:highlight w:val="none"/>
        </w:rPr>
        <w:t>月服务费标的额支付违约金。</w:t>
      </w:r>
    </w:p>
    <w:p w14:paraId="1E1E9F1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trike/>
          <w:sz w:val="32"/>
          <w:szCs w:val="32"/>
          <w:highlight w:val="none"/>
        </w:rPr>
      </w:pP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四</w:t>
      </w:r>
      <w:r>
        <w:rPr>
          <w:rFonts w:hint="eastAsia" w:ascii="仿宋_GB2312" w:hAnsi="宋体" w:eastAsia="仿宋_GB2312"/>
          <w:sz w:val="32"/>
          <w:szCs w:val="32"/>
          <w:highlight w:val="none"/>
        </w:rPr>
        <w:t>）本合同履行期间，任何一方遇到法定的</w:t>
      </w:r>
      <w:r>
        <w:rPr>
          <w:rFonts w:ascii="仿宋_GB2312" w:hAnsi="宋体" w:eastAsia="仿宋_GB2312"/>
          <w:sz w:val="32"/>
          <w:szCs w:val="32"/>
          <w:highlight w:val="none"/>
        </w:rPr>
        <w:t>不能预见、不能避免并不能克服</w:t>
      </w:r>
      <w:r>
        <w:rPr>
          <w:rFonts w:hint="eastAsia" w:ascii="仿宋_GB2312" w:hAnsi="宋体" w:eastAsia="仿宋_GB2312"/>
          <w:sz w:val="32"/>
          <w:szCs w:val="32"/>
          <w:highlight w:val="none"/>
        </w:rPr>
        <w:t>等不可抗力情形</w:t>
      </w:r>
      <w:r>
        <w:rPr>
          <w:rFonts w:hint="eastAsia" w:ascii="仿宋_GB2312" w:hAnsi="宋体" w:eastAsia="仿宋_GB2312"/>
          <w:sz w:val="32"/>
          <w:szCs w:val="32"/>
          <w:highlight w:val="none"/>
          <w:lang w:val="en-US" w:eastAsia="zh-CN"/>
        </w:rPr>
        <w:t>及甲方上级单位要求、变动办公地址等原因</w:t>
      </w:r>
      <w:r>
        <w:rPr>
          <w:rFonts w:hint="eastAsia" w:ascii="仿宋_GB2312" w:hAnsi="宋体" w:eastAsia="仿宋_GB2312"/>
          <w:sz w:val="32"/>
          <w:szCs w:val="32"/>
          <w:highlight w:val="none"/>
        </w:rPr>
        <w:t>，致使合同无法履行或者不能全部履行时，甲、乙双方均不承担违约责任</w:t>
      </w:r>
      <w:r>
        <w:rPr>
          <w:rFonts w:hint="eastAsia" w:ascii="仿宋_GB2312" w:hAnsi="宋体" w:eastAsia="仿宋_GB2312"/>
          <w:sz w:val="32"/>
          <w:szCs w:val="32"/>
          <w:highlight w:val="none"/>
          <w:lang w:eastAsia="zh-CN"/>
        </w:rPr>
        <w:t>，但法律另有规定的除外</w:t>
      </w:r>
      <w:r>
        <w:rPr>
          <w:rFonts w:ascii="仿宋_GB2312" w:hAnsi="宋体" w:eastAsia="仿宋_GB2312"/>
          <w:sz w:val="32"/>
          <w:szCs w:val="32"/>
          <w:highlight w:val="none"/>
        </w:rPr>
        <w:t>。</w:t>
      </w:r>
    </w:p>
    <w:p w14:paraId="4F6BBD7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五</w:t>
      </w:r>
      <w:r>
        <w:rPr>
          <w:rFonts w:hint="eastAsia" w:ascii="仿宋_GB2312" w:hAnsi="宋体" w:eastAsia="仿宋_GB2312"/>
          <w:sz w:val="32"/>
          <w:szCs w:val="32"/>
          <w:highlight w:val="none"/>
        </w:rPr>
        <w:t>）不可抗力因素消失后，未履行完毕的合同义务继续履行。任何一方无正当理由怠于履行义务，应当承担违约责任。</w:t>
      </w:r>
    </w:p>
    <w:p w14:paraId="73F50C2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宋体" w:hAnsi="宋体"/>
          <w:b/>
          <w:sz w:val="32"/>
          <w:szCs w:val="32"/>
          <w:highlight w:val="none"/>
        </w:rPr>
      </w:pPr>
      <w:r>
        <w:rPr>
          <w:rFonts w:hint="eastAsia" w:ascii="仿宋" w:hAnsi="仿宋" w:eastAsia="仿宋" w:cs="仿宋"/>
          <w:b/>
          <w:sz w:val="32"/>
          <w:szCs w:val="32"/>
          <w:highlight w:val="none"/>
          <w:lang w:val="en-US" w:eastAsia="zh-CN"/>
        </w:rPr>
        <w:t>八</w:t>
      </w:r>
      <w:r>
        <w:rPr>
          <w:rFonts w:hint="eastAsia" w:ascii="仿宋" w:hAnsi="仿宋" w:eastAsia="仿宋" w:cs="仿宋"/>
          <w:b/>
          <w:sz w:val="32"/>
          <w:szCs w:val="32"/>
          <w:highlight w:val="none"/>
        </w:rPr>
        <w:t>、争议解决</w:t>
      </w:r>
    </w:p>
    <w:p w14:paraId="47D0884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（一）本合同履行期间，甲、乙双方因履行合同发生权利和义务争议，双方应当首选协商</w:t>
      </w:r>
      <w:r>
        <w:rPr>
          <w:rFonts w:hint="eastAsia" w:ascii="仿宋_GB2312" w:hAnsi="宋体" w:eastAsia="仿宋_GB2312"/>
          <w:sz w:val="32"/>
          <w:szCs w:val="32"/>
          <w:highlight w:val="none"/>
          <w:lang w:val="en-US" w:eastAsia="zh-CN"/>
        </w:rPr>
        <w:t>解决</w:t>
      </w:r>
      <w:r>
        <w:rPr>
          <w:rFonts w:hint="eastAsia" w:ascii="仿宋_GB2312" w:hAnsi="宋体" w:eastAsia="仿宋_GB2312"/>
          <w:sz w:val="32"/>
          <w:szCs w:val="32"/>
          <w:highlight w:val="none"/>
        </w:rPr>
        <w:t>，互谅互让，及时化解纷争。</w:t>
      </w:r>
    </w:p>
    <w:p w14:paraId="5E8BA84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（二）甲、乙双方未能就争议问题达成一致，</w:t>
      </w:r>
      <w:r>
        <w:rPr>
          <w:rFonts w:hint="eastAsia" w:ascii="仿宋" w:hAnsi="仿宋" w:eastAsia="仿宋"/>
          <w:sz w:val="32"/>
          <w:szCs w:val="32"/>
          <w:highlight w:val="none"/>
        </w:rPr>
        <w:t>双方</w:t>
      </w:r>
      <w:r>
        <w:rPr>
          <w:rFonts w:hint="eastAsia" w:ascii="仿宋_GB2312" w:hAnsi="宋体" w:eastAsia="仿宋_GB2312"/>
          <w:sz w:val="32"/>
          <w:szCs w:val="32"/>
          <w:highlight w:val="none"/>
          <w:lang w:val="en-US" w:eastAsia="zh-CN"/>
        </w:rPr>
        <w:t>均有权</w:t>
      </w:r>
      <w:r>
        <w:rPr>
          <w:rFonts w:hint="eastAsia" w:ascii="仿宋_GB2312" w:hAnsi="宋体" w:eastAsia="仿宋_GB2312"/>
          <w:sz w:val="32"/>
          <w:szCs w:val="32"/>
          <w:highlight w:val="none"/>
        </w:rPr>
        <w:t>向</w:t>
      </w:r>
      <w:r>
        <w:rPr>
          <w:rFonts w:hint="eastAsia" w:ascii="仿宋_GB2312" w:hAnsi="宋体" w:eastAsia="仿宋_GB2312"/>
          <w:sz w:val="32"/>
          <w:szCs w:val="32"/>
          <w:highlight w:val="none"/>
          <w:lang w:val="en-US" w:eastAsia="zh-CN"/>
        </w:rPr>
        <w:t>甲方住所</w:t>
      </w:r>
      <w:r>
        <w:rPr>
          <w:rFonts w:hint="eastAsia" w:ascii="仿宋_GB2312" w:hAnsi="宋体" w:eastAsia="仿宋_GB2312"/>
          <w:sz w:val="32"/>
          <w:szCs w:val="32"/>
          <w:highlight w:val="none"/>
        </w:rPr>
        <w:t>地</w:t>
      </w:r>
      <w:r>
        <w:rPr>
          <w:rFonts w:hint="eastAsia" w:ascii="仿宋_GB2312" w:hAnsi="宋体" w:eastAsia="仿宋_GB2312"/>
          <w:sz w:val="32"/>
          <w:szCs w:val="32"/>
          <w:highlight w:val="none"/>
          <w:lang w:val="en-US" w:eastAsia="zh-CN"/>
        </w:rPr>
        <w:t>有管辖权的</w:t>
      </w:r>
      <w:r>
        <w:rPr>
          <w:rFonts w:hint="eastAsia" w:ascii="仿宋_GB2312" w:hAnsi="宋体" w:eastAsia="仿宋_GB2312"/>
          <w:sz w:val="32"/>
          <w:szCs w:val="32"/>
          <w:highlight w:val="none"/>
        </w:rPr>
        <w:t>人民法院提起诉讼。</w:t>
      </w:r>
    </w:p>
    <w:p w14:paraId="463F4F0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（三）因诉讼发生的包括但不限于诉讼受理费、鉴定费、评估费、保全费、执行费和律师费等相关费用，由败诉方全部承担。</w:t>
      </w:r>
    </w:p>
    <w:p w14:paraId="34965F8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宋体" w:hAnsi="宋体"/>
          <w:b/>
          <w:sz w:val="32"/>
          <w:szCs w:val="32"/>
          <w:highlight w:val="none"/>
        </w:rPr>
      </w:pPr>
      <w:r>
        <w:rPr>
          <w:rFonts w:hint="eastAsia" w:ascii="仿宋_GB2312" w:hAnsi="宋体" w:eastAsia="仿宋_GB2312"/>
          <w:sz w:val="32"/>
          <w:szCs w:val="32"/>
          <w:highlight w:val="none"/>
        </w:rPr>
        <w:t>（四）甲、乙双方任何一方，对本合同部分条款存有异议而提出诉讼，双方应当对无争议合同条款继续履行；任何一方认为有争议合同条款未解决前，将会影响到其他条款难以履行，双方可以就中止合同的履行达成协商一致后，合同中止履行。</w:t>
      </w:r>
    </w:p>
    <w:p w14:paraId="4BEAAF4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lang w:val="en-US" w:eastAsia="zh-CN"/>
        </w:rPr>
        <w:t>九</w:t>
      </w:r>
      <w:r>
        <w:rPr>
          <w:rFonts w:hint="eastAsia" w:ascii="仿宋" w:hAnsi="仿宋" w:eastAsia="仿宋" w:cs="仿宋"/>
          <w:b/>
          <w:sz w:val="32"/>
          <w:szCs w:val="32"/>
          <w:highlight w:val="none"/>
        </w:rPr>
        <w:t>、合同变更</w:t>
      </w:r>
    </w:p>
    <w:p w14:paraId="7D0A721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（一）合同期内，若甲方需要增/减保安人数或任何一方需要修改、补充合同条款，应提前</w:t>
      </w:r>
      <w:r>
        <w:rPr>
          <w:rFonts w:hint="eastAsia" w:ascii="仿宋_GB2312" w:hAnsi="宋体" w:eastAsia="仿宋_GB2312"/>
          <w:sz w:val="32"/>
          <w:szCs w:val="32"/>
          <w:highlight w:val="none"/>
          <w:u w:val="single"/>
          <w:lang w:val="en-US" w:eastAsia="zh-CN"/>
        </w:rPr>
        <w:t>5</w:t>
      </w:r>
      <w:r>
        <w:rPr>
          <w:rFonts w:hint="eastAsia" w:ascii="仿宋_GB2312" w:hAnsi="宋体" w:eastAsia="仿宋_GB2312"/>
          <w:sz w:val="32"/>
          <w:szCs w:val="32"/>
          <w:highlight w:val="none"/>
        </w:rPr>
        <w:t>个工作日告知对方，由双方协商并签订补充协议确立合同关系。</w:t>
      </w:r>
    </w:p>
    <w:p w14:paraId="6092954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（二）本合同履行过程中，若政策调整导致税率变化，乙方须按新税率开具发票，不含税单价不作调整。</w:t>
      </w:r>
    </w:p>
    <w:p w14:paraId="6241761D">
      <w:pPr>
        <w:keepNext w:val="0"/>
        <w:keepLines w:val="0"/>
        <w:pageBreakBefore w:val="0"/>
        <w:widowControl w:val="0"/>
        <w:kinsoku/>
        <w:wordWrap/>
        <w:overflowPunct/>
        <w:topLinePunct w:val="0"/>
        <w:autoSpaceDE/>
        <w:autoSpaceDN/>
        <w:bidi w:val="0"/>
        <w:adjustRightInd/>
        <w:snapToGrid/>
        <w:spacing w:line="540" w:lineRule="exact"/>
        <w:ind w:firstLine="630" w:firstLineChars="196"/>
        <w:textAlignment w:val="auto"/>
        <w:rPr>
          <w:rFonts w:hint="eastAsia" w:ascii="仿宋" w:hAnsi="仿宋" w:eastAsia="仿宋" w:cs="仿宋"/>
          <w:b/>
          <w:sz w:val="32"/>
          <w:szCs w:val="32"/>
          <w:highlight w:val="none"/>
        </w:rPr>
      </w:pPr>
      <w:r>
        <w:rPr>
          <w:rFonts w:hint="eastAsia" w:ascii="仿宋" w:hAnsi="仿宋" w:eastAsia="仿宋" w:cs="仿宋"/>
          <w:b/>
          <w:color w:val="000000"/>
          <w:sz w:val="32"/>
          <w:szCs w:val="32"/>
          <w:highlight w:val="none"/>
          <w:lang w:val="en-US" w:eastAsia="zh-CN"/>
        </w:rPr>
        <w:t>十</w:t>
      </w:r>
      <w:r>
        <w:rPr>
          <w:rFonts w:hint="eastAsia" w:ascii="仿宋" w:hAnsi="仿宋" w:eastAsia="仿宋" w:cs="仿宋"/>
          <w:b/>
          <w:color w:val="000000"/>
          <w:sz w:val="32"/>
          <w:szCs w:val="32"/>
          <w:highlight w:val="none"/>
        </w:rPr>
        <w:t>、</w:t>
      </w:r>
      <w:r>
        <w:rPr>
          <w:rFonts w:hint="eastAsia" w:ascii="仿宋" w:hAnsi="仿宋" w:eastAsia="仿宋" w:cs="仿宋"/>
          <w:b/>
          <w:sz w:val="32"/>
          <w:szCs w:val="32"/>
          <w:highlight w:val="none"/>
        </w:rPr>
        <w:t xml:space="preserve"> 附  则</w:t>
      </w:r>
    </w:p>
    <w:p w14:paraId="260FE2F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highlight w:val="none"/>
          <w:lang w:eastAsia="zh-CN"/>
        </w:rPr>
      </w:pPr>
      <w:r>
        <w:rPr>
          <w:rFonts w:hint="eastAsia" w:ascii="仿宋_GB2312" w:hAnsi="宋体" w:eastAsia="仿宋_GB2312" w:cs="Times New Roman"/>
          <w:sz w:val="32"/>
          <w:szCs w:val="32"/>
          <w:highlight w:val="none"/>
        </w:rPr>
        <w:t>（</w:t>
      </w:r>
      <w:r>
        <w:rPr>
          <w:rFonts w:hint="eastAsia" w:ascii="仿宋" w:hAnsi="仿宋" w:eastAsia="仿宋" w:cs="Times New Roman"/>
          <w:sz w:val="32"/>
          <w:szCs w:val="32"/>
          <w:highlight w:val="none"/>
        </w:rPr>
        <w:t>一</w:t>
      </w:r>
      <w:r>
        <w:rPr>
          <w:rFonts w:hint="eastAsia" w:ascii="仿宋_GB2312" w:hAnsi="宋体" w:eastAsia="仿宋_GB2312" w:cs="Times New Roman"/>
          <w:sz w:val="32"/>
          <w:szCs w:val="32"/>
          <w:highlight w:val="none"/>
        </w:rPr>
        <w:t>）</w:t>
      </w:r>
      <w:r>
        <w:rPr>
          <w:rFonts w:hint="eastAsia" w:ascii="仿宋_GB2312" w:hAnsi="宋体" w:eastAsia="仿宋_GB2312"/>
          <w:sz w:val="32"/>
          <w:szCs w:val="32"/>
          <w:highlight w:val="none"/>
        </w:rPr>
        <w:t>本合同经甲、乙双方签署盖章后生效</w:t>
      </w:r>
      <w:r>
        <w:rPr>
          <w:rFonts w:hint="eastAsia" w:ascii="仿宋_GB2312" w:hAnsi="宋体" w:eastAsia="仿宋_GB2312"/>
          <w:sz w:val="32"/>
          <w:szCs w:val="32"/>
          <w:highlight w:val="none"/>
          <w:lang w:eastAsia="zh-CN"/>
        </w:rPr>
        <w:t>。</w:t>
      </w:r>
    </w:p>
    <w:p w14:paraId="119E991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二</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本合同一式</w:t>
      </w:r>
      <w:r>
        <w:rPr>
          <w:rFonts w:hint="eastAsia" w:ascii="仿宋" w:hAnsi="仿宋" w:eastAsia="仿宋"/>
          <w:color w:val="000000"/>
          <w:kern w:val="0"/>
          <w:sz w:val="32"/>
          <w:szCs w:val="32"/>
          <w:highlight w:val="none"/>
          <w:u w:val="single"/>
          <w:lang w:val="en-US" w:eastAsia="zh-CN"/>
        </w:rPr>
        <w:t>肆</w:t>
      </w:r>
      <w:r>
        <w:rPr>
          <w:rFonts w:hint="eastAsia" w:ascii="仿宋" w:hAnsi="仿宋" w:eastAsia="仿宋"/>
          <w:color w:val="000000"/>
          <w:sz w:val="32"/>
          <w:szCs w:val="32"/>
          <w:highlight w:val="none"/>
        </w:rPr>
        <w:t>份，甲方执</w:t>
      </w:r>
      <w:r>
        <w:rPr>
          <w:rFonts w:hint="eastAsia" w:ascii="仿宋" w:hAnsi="仿宋" w:eastAsia="仿宋"/>
          <w:color w:val="000000"/>
          <w:kern w:val="0"/>
          <w:sz w:val="32"/>
          <w:szCs w:val="32"/>
          <w:highlight w:val="none"/>
          <w:u w:val="single"/>
          <w:lang w:val="en-US" w:eastAsia="zh-CN"/>
        </w:rPr>
        <w:t>贰</w:t>
      </w:r>
      <w:r>
        <w:rPr>
          <w:rFonts w:hint="eastAsia" w:ascii="仿宋" w:hAnsi="仿宋" w:eastAsia="仿宋"/>
          <w:color w:val="000000"/>
          <w:sz w:val="32"/>
          <w:szCs w:val="32"/>
          <w:highlight w:val="none"/>
        </w:rPr>
        <w:t>份，乙方执</w:t>
      </w:r>
      <w:r>
        <w:rPr>
          <w:rFonts w:hint="eastAsia" w:ascii="仿宋" w:hAnsi="仿宋" w:eastAsia="仿宋"/>
          <w:color w:val="000000"/>
          <w:kern w:val="0"/>
          <w:sz w:val="32"/>
          <w:szCs w:val="32"/>
          <w:highlight w:val="none"/>
          <w:u w:val="single"/>
          <w:lang w:val="en-US" w:eastAsia="zh-CN"/>
        </w:rPr>
        <w:t>贰</w:t>
      </w:r>
      <w:r>
        <w:rPr>
          <w:rFonts w:hint="eastAsia" w:ascii="仿宋_GB2312" w:hAnsi="宋体" w:eastAsia="仿宋_GB2312" w:cs="Times New Roman"/>
          <w:sz w:val="32"/>
          <w:szCs w:val="32"/>
          <w:highlight w:val="none"/>
        </w:rPr>
        <w:t>份</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lang w:val="en-US" w:eastAsia="zh-CN"/>
        </w:rPr>
        <w:t>具有同等法律效力</w:t>
      </w:r>
      <w:r>
        <w:rPr>
          <w:rFonts w:hint="eastAsia" w:ascii="仿宋_GB2312" w:hAnsi="宋体" w:eastAsia="仿宋_GB2312" w:cs="Times New Roman"/>
          <w:sz w:val="32"/>
          <w:szCs w:val="32"/>
          <w:highlight w:val="none"/>
        </w:rPr>
        <w:t>。</w:t>
      </w:r>
    </w:p>
    <w:p w14:paraId="678B491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sz w:val="32"/>
          <w:szCs w:val="32"/>
          <w:highlight w:val="none"/>
        </w:rPr>
        <w:t>（</w:t>
      </w:r>
      <w:r>
        <w:rPr>
          <w:rFonts w:hint="eastAsia" w:ascii="仿宋_GB2312" w:hAnsi="宋体" w:eastAsia="仿宋_GB2312" w:cs="Times New Roman"/>
          <w:sz w:val="32"/>
          <w:szCs w:val="32"/>
          <w:highlight w:val="none"/>
          <w:lang w:val="en-US" w:eastAsia="zh-CN"/>
        </w:rPr>
        <w:t>三</w:t>
      </w:r>
      <w:r>
        <w:rPr>
          <w:rFonts w:hint="eastAsia" w:ascii="仿宋_GB2312" w:hAnsi="宋体" w:eastAsia="仿宋_GB2312" w:cs="Times New Roman"/>
          <w:sz w:val="32"/>
          <w:szCs w:val="32"/>
          <w:highlight w:val="none"/>
        </w:rPr>
        <w:t>）</w:t>
      </w:r>
      <w:r>
        <w:rPr>
          <w:rFonts w:hint="eastAsia" w:ascii="仿宋_GB2312" w:hAnsi="宋体" w:eastAsia="仿宋_GB2312" w:cs="Times New Roman"/>
          <w:sz w:val="32"/>
          <w:szCs w:val="32"/>
          <w:highlight w:val="none"/>
          <w:lang w:val="en-US" w:eastAsia="zh-CN"/>
        </w:rPr>
        <w:t>本合同</w:t>
      </w:r>
      <w:r>
        <w:rPr>
          <w:rFonts w:hint="eastAsia" w:ascii="仿宋_GB2312" w:hAnsi="宋体" w:eastAsia="仿宋_GB2312" w:cs="Times New Roman"/>
          <w:sz w:val="32"/>
          <w:szCs w:val="32"/>
          <w:highlight w:val="none"/>
        </w:rPr>
        <w:t>未尽事宜，由双方协商</w:t>
      </w:r>
      <w:r>
        <w:rPr>
          <w:rFonts w:hint="eastAsia" w:ascii="仿宋_GB2312" w:hAnsi="宋体" w:eastAsia="仿宋_GB2312" w:cs="Times New Roman"/>
          <w:sz w:val="32"/>
          <w:szCs w:val="32"/>
          <w:highlight w:val="none"/>
          <w:lang w:val="en-US" w:eastAsia="zh-CN"/>
        </w:rPr>
        <w:t>处理，可签订书面</w:t>
      </w:r>
      <w:r>
        <w:rPr>
          <w:rFonts w:hint="eastAsia" w:ascii="仿宋_GB2312" w:hAnsi="宋体" w:eastAsia="仿宋_GB2312" w:cs="Times New Roman"/>
          <w:sz w:val="32"/>
          <w:szCs w:val="32"/>
          <w:highlight w:val="none"/>
        </w:rPr>
        <w:t>补充</w:t>
      </w:r>
      <w:r>
        <w:rPr>
          <w:rFonts w:hint="eastAsia" w:ascii="仿宋_GB2312" w:hAnsi="宋体" w:eastAsia="仿宋_GB2312" w:cs="Times New Roman"/>
          <w:sz w:val="32"/>
          <w:szCs w:val="32"/>
          <w:highlight w:val="none"/>
          <w:lang w:val="en-US" w:eastAsia="zh-CN"/>
        </w:rPr>
        <w:t>协议，与本合同具有同等法律效力</w:t>
      </w:r>
      <w:r>
        <w:rPr>
          <w:rFonts w:hint="eastAsia" w:ascii="仿宋_GB2312" w:hAnsi="宋体" w:eastAsia="仿宋_GB2312" w:cs="Times New Roman"/>
          <w:sz w:val="32"/>
          <w:szCs w:val="32"/>
          <w:highlight w:val="none"/>
          <w:lang w:eastAsia="zh-CN"/>
        </w:rPr>
        <w:t>。</w:t>
      </w:r>
    </w:p>
    <w:p w14:paraId="16CBFC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Times New Roman"/>
          <w:sz w:val="32"/>
          <w:szCs w:val="32"/>
          <w:highlight w:val="none"/>
          <w:lang w:eastAsia="zh-CN"/>
        </w:rPr>
      </w:pPr>
      <w:r>
        <w:rPr>
          <w:rFonts w:hint="eastAsia" w:ascii="仿宋" w:hAnsi="仿宋" w:eastAsia="仿宋" w:cs="Times New Roman"/>
          <w:sz w:val="32"/>
          <w:szCs w:val="32"/>
          <w:highlight w:val="none"/>
        </w:rPr>
        <w:t>（</w:t>
      </w:r>
      <w:r>
        <w:rPr>
          <w:rFonts w:hint="eastAsia" w:ascii="仿宋_GB2312" w:hAnsi="宋体" w:eastAsia="仿宋_GB2312" w:cs="Times New Roman"/>
          <w:sz w:val="32"/>
          <w:szCs w:val="32"/>
          <w:highlight w:val="none"/>
          <w:lang w:val="en-US" w:eastAsia="zh-CN"/>
        </w:rPr>
        <w:t>四</w:t>
      </w:r>
      <w:r>
        <w:rPr>
          <w:rFonts w:hint="eastAsia" w:ascii="仿宋" w:hAnsi="仿宋" w:eastAsia="仿宋" w:cs="Times New Roman"/>
          <w:sz w:val="32"/>
          <w:szCs w:val="32"/>
          <w:highlight w:val="none"/>
        </w:rPr>
        <w:t>）甲乙双方确认，</w:t>
      </w:r>
      <w:r>
        <w:rPr>
          <w:rFonts w:hint="eastAsia" w:ascii="仿宋" w:hAnsi="仿宋" w:eastAsia="仿宋" w:cs="Times New Roman"/>
          <w:sz w:val="32"/>
          <w:szCs w:val="32"/>
          <w:highlight w:val="none"/>
          <w:lang w:eastAsia="zh-CN"/>
        </w:rPr>
        <w:t>本合同</w:t>
      </w:r>
      <w:r>
        <w:rPr>
          <w:rFonts w:hint="eastAsia" w:ascii="仿宋" w:hAnsi="仿宋" w:eastAsia="仿宋" w:cs="Times New Roman"/>
          <w:sz w:val="32"/>
          <w:szCs w:val="32"/>
          <w:highlight w:val="none"/>
        </w:rPr>
        <w:t>载明之地址作为</w:t>
      </w:r>
      <w:r>
        <w:rPr>
          <w:rFonts w:hint="eastAsia" w:ascii="仿宋" w:hAnsi="仿宋" w:eastAsia="仿宋" w:cs="Times New Roman"/>
          <w:sz w:val="32"/>
          <w:szCs w:val="32"/>
          <w:highlight w:val="none"/>
          <w:lang w:eastAsia="zh-CN"/>
        </w:rPr>
        <w:t>本合同</w:t>
      </w:r>
      <w:r>
        <w:rPr>
          <w:rFonts w:hint="eastAsia" w:ascii="仿宋" w:hAnsi="仿宋" w:eastAsia="仿宋" w:cs="Times New Roman"/>
          <w:sz w:val="32"/>
          <w:szCs w:val="32"/>
          <w:highlight w:val="none"/>
        </w:rPr>
        <w:t>履行过程中，所有通知、文件以及</w:t>
      </w:r>
      <w:r>
        <w:rPr>
          <w:rFonts w:hint="eastAsia" w:ascii="仿宋" w:hAnsi="仿宋" w:eastAsia="仿宋" w:cs="Times New Roman"/>
          <w:sz w:val="32"/>
          <w:szCs w:val="32"/>
          <w:highlight w:val="none"/>
          <w:lang w:eastAsia="zh-CN"/>
        </w:rPr>
        <w:t>合同</w:t>
      </w:r>
      <w:r>
        <w:rPr>
          <w:rFonts w:hint="eastAsia" w:ascii="仿宋" w:hAnsi="仿宋" w:eastAsia="仿宋" w:cs="Times New Roman"/>
          <w:sz w:val="32"/>
          <w:szCs w:val="32"/>
          <w:highlight w:val="none"/>
        </w:rPr>
        <w:t>发生纠纷时</w:t>
      </w:r>
      <w:r>
        <w:rPr>
          <w:rFonts w:hint="eastAsia" w:ascii="仿宋" w:hAnsi="仿宋" w:eastAsia="仿宋" w:cs="Times New Roman"/>
          <w:sz w:val="32"/>
          <w:szCs w:val="32"/>
          <w:highlight w:val="none"/>
          <w:lang w:val="en-US" w:eastAsia="zh-CN"/>
        </w:rPr>
        <w:t>人民</w:t>
      </w:r>
      <w:r>
        <w:rPr>
          <w:rFonts w:hint="eastAsia" w:ascii="仿宋" w:hAnsi="仿宋" w:eastAsia="仿宋" w:cs="Times New Roman"/>
          <w:sz w:val="32"/>
          <w:szCs w:val="32"/>
          <w:highlight w:val="none"/>
        </w:rPr>
        <w:t>法院等送达相关法律文书的有效送达地址。一方若变更地址的，应于变更前3日内书面通知对方，否则仍以原地址为有效送达地址</w:t>
      </w:r>
      <w:r>
        <w:rPr>
          <w:rFonts w:hint="eastAsia" w:ascii="仿宋" w:hAnsi="仿宋" w:eastAsia="仿宋" w:cs="Times New Roman"/>
          <w:sz w:val="32"/>
          <w:szCs w:val="32"/>
          <w:highlight w:val="none"/>
          <w:lang w:eastAsia="zh-CN"/>
        </w:rPr>
        <w:t>。</w:t>
      </w:r>
    </w:p>
    <w:p w14:paraId="6F580F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imes New Roman"/>
          <w:sz w:val="32"/>
          <w:szCs w:val="32"/>
          <w:highlight w:val="none"/>
          <w:lang w:val="en-US" w:eastAsia="zh-CN"/>
        </w:rPr>
      </w:pPr>
    </w:p>
    <w:p w14:paraId="6B52A7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附件：《保安服务标准与绩效考核实施细则》</w:t>
      </w:r>
    </w:p>
    <w:p w14:paraId="127E4F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imes New Roman"/>
          <w:sz w:val="32"/>
          <w:szCs w:val="32"/>
          <w:highlight w:val="none"/>
          <w:lang w:val="en-US" w:eastAsia="zh-CN"/>
        </w:rPr>
      </w:pPr>
    </w:p>
    <w:p w14:paraId="17E18063">
      <w:pPr>
        <w:rPr>
          <w:rFonts w:hint="eastAsia" w:ascii="仿宋_GB2312" w:hAnsi="宋体" w:eastAsia="仿宋_GB2312"/>
          <w:sz w:val="32"/>
          <w:szCs w:val="32"/>
          <w:highlight w:val="none"/>
        </w:rPr>
      </w:pPr>
    </w:p>
    <w:p w14:paraId="1697CA62">
      <w:pPr>
        <w:spacing w:line="360" w:lineRule="auto"/>
        <w:rPr>
          <w:rFonts w:hint="eastAsia" w:ascii="仿宋" w:hAnsi="仿宋" w:eastAsia="仿宋" w:cs="仿宋"/>
          <w:b/>
          <w:sz w:val="32"/>
          <w:szCs w:val="32"/>
          <w:highlight w:val="none"/>
        </w:rPr>
      </w:pPr>
      <w:r>
        <w:rPr>
          <w:rFonts w:hint="eastAsia" w:ascii="仿宋" w:hAnsi="仿宋" w:eastAsia="仿宋" w:cs="仿宋"/>
          <w:b/>
          <w:sz w:val="32"/>
          <w:szCs w:val="32"/>
          <w:highlight w:val="none"/>
        </w:rPr>
        <w:t>甲方（盖章）：                乙方(盖章)：</w:t>
      </w:r>
    </w:p>
    <w:p w14:paraId="138BB86F">
      <w:pPr>
        <w:spacing w:line="360" w:lineRule="auto"/>
        <w:rPr>
          <w:rFonts w:hint="eastAsia" w:ascii="仿宋" w:hAnsi="仿宋" w:eastAsia="仿宋" w:cs="仿宋"/>
          <w:b/>
          <w:sz w:val="32"/>
          <w:szCs w:val="32"/>
          <w:highlight w:val="none"/>
        </w:rPr>
      </w:pPr>
      <w:r>
        <w:rPr>
          <w:rFonts w:hint="eastAsia" w:ascii="仿宋" w:hAnsi="仿宋" w:eastAsia="仿宋" w:cs="仿宋"/>
          <w:b/>
          <w:sz w:val="32"/>
          <w:szCs w:val="32"/>
          <w:highlight w:val="none"/>
        </w:rPr>
        <w:t xml:space="preserve">代表人：                      代表人:           </w:t>
      </w:r>
    </w:p>
    <w:p w14:paraId="4D3B1A89">
      <w:pPr>
        <w:spacing w:line="360" w:lineRule="auto"/>
        <w:rPr>
          <w:rFonts w:hint="eastAsia" w:ascii="仿宋" w:hAnsi="仿宋" w:eastAsia="仿宋" w:cs="仿宋"/>
          <w:b/>
          <w:sz w:val="32"/>
          <w:szCs w:val="32"/>
          <w:highlight w:val="none"/>
        </w:rPr>
      </w:pPr>
      <w:r>
        <w:rPr>
          <w:rFonts w:hint="eastAsia" w:ascii="仿宋" w:hAnsi="仿宋" w:eastAsia="仿宋" w:cs="仿宋"/>
          <w:b/>
          <w:sz w:val="32"/>
          <w:szCs w:val="32"/>
          <w:highlight w:val="none"/>
        </w:rPr>
        <w:t xml:space="preserve">     年   月   日                  年   月   日</w:t>
      </w:r>
    </w:p>
    <w:p w14:paraId="720536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imes New Roman"/>
          <w:sz w:val="32"/>
          <w:szCs w:val="32"/>
          <w:highlight w:val="none"/>
          <w:lang w:val="en-US" w:eastAsia="zh-CN"/>
        </w:rPr>
        <w:sectPr>
          <w:headerReference r:id="rId4" w:type="first"/>
          <w:footerReference r:id="rId7" w:type="first"/>
          <w:headerReference r:id="rId3" w:type="default"/>
          <w:footerReference r:id="rId5" w:type="default"/>
          <w:footerReference r:id="rId6" w:type="even"/>
          <w:pgSz w:w="11906" w:h="16838"/>
          <w:pgMar w:top="1560" w:right="1286" w:bottom="1198" w:left="1701" w:header="851" w:footer="992" w:gutter="0"/>
          <w:pgNumType w:fmt="decimal" w:start="0"/>
          <w:cols w:space="720" w:num="1"/>
          <w:titlePg/>
          <w:docGrid w:type="lines" w:linePitch="312" w:charSpace="0"/>
        </w:sectPr>
      </w:pPr>
    </w:p>
    <w:tbl>
      <w:tblPr>
        <w:tblStyle w:val="4"/>
        <w:tblW w:w="545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58"/>
        <w:gridCol w:w="526"/>
        <w:gridCol w:w="1824"/>
        <w:gridCol w:w="2389"/>
        <w:gridCol w:w="857"/>
        <w:gridCol w:w="1539"/>
      </w:tblGrid>
      <w:tr w14:paraId="2E21F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E67A4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服务标准与绩效考核实施细则考核评分表</w:t>
            </w:r>
          </w:p>
        </w:tc>
      </w:tr>
      <w:tr w14:paraId="0EE2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4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3B8511">
            <w:pPr>
              <w:keepNext w:val="0"/>
              <w:keepLines w:val="0"/>
              <w:pageBreakBefore w:val="0"/>
              <w:widowControl/>
              <w:suppressLineNumbers w:val="0"/>
              <w:kinsoku/>
              <w:wordWrap/>
              <w:overflowPunct/>
              <w:topLinePunct w:val="0"/>
              <w:autoSpaceDE/>
              <w:autoSpaceDN/>
              <w:bidi w:val="0"/>
              <w:adjustRightInd/>
              <w:snapToGrid/>
              <w:spacing w:after="360" w:afterAutospacing="0" w:line="200" w:lineRule="exact"/>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考核月份：</w:t>
            </w:r>
          </w:p>
        </w:tc>
        <w:tc>
          <w:tcPr>
            <w:tcW w:w="2727"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2A695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保安姓名：</w:t>
            </w:r>
          </w:p>
        </w:tc>
        <w:tc>
          <w:tcPr>
            <w:tcW w:w="82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F33F3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考核人：</w:t>
            </w:r>
          </w:p>
        </w:tc>
      </w:tr>
      <w:tr w14:paraId="079A5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116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AC2A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考核类别</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BC154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266"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868AB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考核项目与扣分标准</w:t>
            </w:r>
          </w:p>
        </w:tc>
        <w:tc>
          <w:tcPr>
            <w:tcW w:w="46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1F0D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标准分</w:t>
            </w:r>
          </w:p>
        </w:tc>
        <w:tc>
          <w:tcPr>
            <w:tcW w:w="82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B97D8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扣分</w:t>
            </w:r>
          </w:p>
        </w:tc>
      </w:tr>
      <w:tr w14:paraId="0A591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61" w:type="pct"/>
            <w:vMerge w:val="restart"/>
            <w:tcBorders>
              <w:top w:val="single" w:color="000000" w:sz="4" w:space="0"/>
              <w:left w:val="single" w:color="000000" w:sz="4" w:space="0"/>
              <w:right w:val="single" w:color="000000" w:sz="4" w:space="0"/>
            </w:tcBorders>
            <w:noWrap w:val="0"/>
            <w:vAlign w:val="center"/>
          </w:tcPr>
          <w:p w14:paraId="728598EA">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安全与秩序维护 (35分)</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2D4A9FFE">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2266" w:type="pct"/>
            <w:gridSpan w:val="2"/>
            <w:tcBorders>
              <w:top w:val="single" w:color="000000" w:sz="4" w:space="0"/>
              <w:left w:val="single" w:color="000000" w:sz="4" w:space="0"/>
              <w:bottom w:val="single" w:color="000000" w:sz="4" w:space="0"/>
              <w:right w:val="single" w:color="000000" w:sz="4" w:space="0"/>
            </w:tcBorders>
            <w:noWrap w:val="0"/>
            <w:vAlign w:val="center"/>
          </w:tcPr>
          <w:p w14:paraId="2BDBBF76">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 xml:space="preserve"> 巡查记录缺失：未按时、或记录不实、遗漏。</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14:paraId="27A70570">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65A0F9A7">
            <w:pPr>
              <w:jc w:val="center"/>
              <w:rPr>
                <w:rFonts w:hint="eastAsia" w:ascii="宋体" w:hAnsi="宋体" w:eastAsia="宋体" w:cs="宋体"/>
                <w:b w:val="0"/>
                <w:bCs w:val="0"/>
                <w:i w:val="0"/>
                <w:iCs w:val="0"/>
                <w:color w:val="000000"/>
                <w:sz w:val="18"/>
                <w:szCs w:val="18"/>
                <w:u w:val="none"/>
              </w:rPr>
            </w:pPr>
          </w:p>
        </w:tc>
      </w:tr>
      <w:tr w14:paraId="283F5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61" w:type="pct"/>
            <w:vMerge w:val="continue"/>
            <w:tcBorders>
              <w:left w:val="single" w:color="000000" w:sz="4" w:space="0"/>
              <w:right w:val="single" w:color="000000" w:sz="4" w:space="0"/>
            </w:tcBorders>
            <w:noWrap w:val="0"/>
            <w:vAlign w:val="center"/>
          </w:tcPr>
          <w:p w14:paraId="3C7371A0">
            <w:pPr>
              <w:jc w:val="center"/>
              <w:rPr>
                <w:rFonts w:hint="eastAsia" w:ascii="宋体" w:hAnsi="宋体" w:eastAsia="宋体" w:cs="宋体"/>
                <w:b w:val="0"/>
                <w:bCs w:val="0"/>
                <w:i w:val="0"/>
                <w:iCs w:val="0"/>
                <w:color w:val="333333"/>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5382FAC">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2</w:t>
            </w:r>
          </w:p>
        </w:tc>
        <w:tc>
          <w:tcPr>
            <w:tcW w:w="2266" w:type="pct"/>
            <w:gridSpan w:val="2"/>
            <w:tcBorders>
              <w:top w:val="single" w:color="000000" w:sz="4" w:space="0"/>
              <w:left w:val="single" w:color="000000" w:sz="4" w:space="0"/>
              <w:bottom w:val="single" w:color="000000" w:sz="4" w:space="0"/>
              <w:right w:val="single" w:color="000000" w:sz="4" w:space="0"/>
            </w:tcBorders>
            <w:noWrap w:val="0"/>
            <w:vAlign w:val="center"/>
          </w:tcPr>
          <w:p w14:paraId="48626CCB">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秩序维护不力：责任区发生争吵、拥堵等，未及时有效干预。</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14:paraId="6CC03CCF">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15</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566B5123">
            <w:pPr>
              <w:jc w:val="center"/>
              <w:rPr>
                <w:rFonts w:hint="eastAsia" w:ascii="宋体" w:hAnsi="宋体" w:eastAsia="宋体" w:cs="宋体"/>
                <w:b w:val="0"/>
                <w:bCs w:val="0"/>
                <w:i w:val="0"/>
                <w:iCs w:val="0"/>
                <w:color w:val="333333"/>
                <w:sz w:val="18"/>
                <w:szCs w:val="18"/>
                <w:u w:val="none"/>
              </w:rPr>
            </w:pPr>
          </w:p>
        </w:tc>
      </w:tr>
      <w:tr w14:paraId="686B7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61" w:type="pct"/>
            <w:vMerge w:val="continue"/>
            <w:tcBorders>
              <w:left w:val="single" w:color="000000" w:sz="4" w:space="0"/>
              <w:bottom w:val="single" w:color="000000" w:sz="4" w:space="0"/>
              <w:right w:val="single" w:color="000000" w:sz="4" w:space="0"/>
            </w:tcBorders>
            <w:noWrap w:val="0"/>
            <w:vAlign w:val="center"/>
          </w:tcPr>
          <w:p w14:paraId="60D3243C">
            <w:pPr>
              <w:jc w:val="center"/>
              <w:rPr>
                <w:rFonts w:hint="eastAsia" w:ascii="宋体" w:hAnsi="宋体" w:eastAsia="宋体" w:cs="宋体"/>
                <w:b w:val="0"/>
                <w:bCs w:val="0"/>
                <w:i w:val="0"/>
                <w:iCs w:val="0"/>
                <w:color w:val="333333"/>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76E17929">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3</w:t>
            </w:r>
          </w:p>
        </w:tc>
        <w:tc>
          <w:tcPr>
            <w:tcW w:w="2266" w:type="pct"/>
            <w:gridSpan w:val="2"/>
            <w:tcBorders>
              <w:top w:val="single" w:color="000000" w:sz="4" w:space="0"/>
              <w:left w:val="single" w:color="000000" w:sz="4" w:space="0"/>
              <w:bottom w:val="single" w:color="000000" w:sz="4" w:space="0"/>
              <w:right w:val="single" w:color="000000" w:sz="4" w:space="0"/>
            </w:tcBorders>
            <w:noWrap w:val="0"/>
            <w:vAlign w:val="center"/>
          </w:tcPr>
          <w:p w14:paraId="72318942">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设备/安全隐患：不会操作安防设备，或发现隐患未及时上报。</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14:paraId="701D962E">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5</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7496E65D">
            <w:pPr>
              <w:jc w:val="center"/>
              <w:rPr>
                <w:rFonts w:hint="eastAsia" w:ascii="宋体" w:hAnsi="宋体" w:eastAsia="宋体" w:cs="宋体"/>
                <w:b w:val="0"/>
                <w:bCs w:val="0"/>
                <w:i w:val="0"/>
                <w:iCs w:val="0"/>
                <w:color w:val="333333"/>
                <w:sz w:val="18"/>
                <w:szCs w:val="18"/>
                <w:u w:val="none"/>
              </w:rPr>
            </w:pPr>
          </w:p>
        </w:tc>
      </w:tr>
      <w:tr w14:paraId="13AB1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61" w:type="pct"/>
            <w:vMerge w:val="restart"/>
            <w:tcBorders>
              <w:top w:val="single" w:color="000000" w:sz="4" w:space="0"/>
              <w:left w:val="single" w:color="000000" w:sz="4" w:space="0"/>
              <w:right w:val="single" w:color="000000" w:sz="4" w:space="0"/>
            </w:tcBorders>
            <w:noWrap w:val="0"/>
            <w:vAlign w:val="center"/>
          </w:tcPr>
          <w:p w14:paraId="4ECC3510">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行政与服务表现 (35分)</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03FF3D8">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4</w:t>
            </w:r>
          </w:p>
        </w:tc>
        <w:tc>
          <w:tcPr>
            <w:tcW w:w="2266" w:type="pct"/>
            <w:gridSpan w:val="2"/>
            <w:tcBorders>
              <w:top w:val="single" w:color="000000" w:sz="4" w:space="0"/>
              <w:left w:val="single" w:color="000000" w:sz="4" w:space="0"/>
              <w:bottom w:val="single" w:color="000000" w:sz="4" w:space="0"/>
              <w:right w:val="single" w:color="000000" w:sz="4" w:space="0"/>
            </w:tcBorders>
            <w:noWrap w:val="0"/>
            <w:vAlign w:val="center"/>
          </w:tcPr>
          <w:p w14:paraId="0FB00C52">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访客接待不规范：态度差、未引导、遭有效投诉。</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14:paraId="06F86586">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15</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2E16C0E1">
            <w:pPr>
              <w:jc w:val="center"/>
              <w:rPr>
                <w:rFonts w:hint="eastAsia" w:ascii="宋体" w:hAnsi="宋体" w:eastAsia="宋体" w:cs="宋体"/>
                <w:b w:val="0"/>
                <w:bCs w:val="0"/>
                <w:i w:val="0"/>
                <w:iCs w:val="0"/>
                <w:color w:val="333333"/>
                <w:sz w:val="18"/>
                <w:szCs w:val="18"/>
                <w:u w:val="none"/>
              </w:rPr>
            </w:pPr>
          </w:p>
        </w:tc>
      </w:tr>
      <w:tr w14:paraId="65AA3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61" w:type="pct"/>
            <w:vMerge w:val="continue"/>
            <w:tcBorders>
              <w:left w:val="single" w:color="000000" w:sz="4" w:space="0"/>
              <w:bottom w:val="single" w:color="000000" w:sz="4" w:space="0"/>
              <w:right w:val="single" w:color="000000" w:sz="4" w:space="0"/>
            </w:tcBorders>
            <w:noWrap w:val="0"/>
            <w:vAlign w:val="center"/>
          </w:tcPr>
          <w:p w14:paraId="142C209F">
            <w:pPr>
              <w:jc w:val="center"/>
              <w:rPr>
                <w:rFonts w:hint="eastAsia" w:ascii="宋体" w:hAnsi="宋体" w:eastAsia="宋体" w:cs="宋体"/>
                <w:b w:val="0"/>
                <w:bCs w:val="0"/>
                <w:i w:val="0"/>
                <w:iCs w:val="0"/>
                <w:color w:val="333333"/>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7E676217">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5</w:t>
            </w:r>
          </w:p>
        </w:tc>
        <w:tc>
          <w:tcPr>
            <w:tcW w:w="2266" w:type="pct"/>
            <w:gridSpan w:val="2"/>
            <w:tcBorders>
              <w:top w:val="single" w:color="000000" w:sz="4" w:space="0"/>
              <w:left w:val="single" w:color="000000" w:sz="4" w:space="0"/>
              <w:bottom w:val="single" w:color="000000" w:sz="4" w:space="0"/>
              <w:right w:val="single" w:color="000000" w:sz="4" w:space="0"/>
            </w:tcBorders>
            <w:noWrap w:val="0"/>
            <w:vAlign w:val="center"/>
          </w:tcPr>
          <w:p w14:paraId="421CDB1E">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临时任务执行：无正当理由推诿、拖延或完成质量差。</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14:paraId="54E960D9">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20</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1717F431">
            <w:pPr>
              <w:jc w:val="center"/>
              <w:rPr>
                <w:rFonts w:hint="eastAsia" w:ascii="宋体" w:hAnsi="宋体" w:eastAsia="宋体" w:cs="宋体"/>
                <w:b w:val="0"/>
                <w:bCs w:val="0"/>
                <w:i w:val="0"/>
                <w:iCs w:val="0"/>
                <w:color w:val="333333"/>
                <w:sz w:val="18"/>
                <w:szCs w:val="18"/>
                <w:u w:val="none"/>
              </w:rPr>
            </w:pPr>
          </w:p>
        </w:tc>
      </w:tr>
      <w:tr w14:paraId="77390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61" w:type="pct"/>
            <w:vMerge w:val="restart"/>
            <w:tcBorders>
              <w:top w:val="single" w:color="000000" w:sz="4" w:space="0"/>
              <w:left w:val="single" w:color="000000" w:sz="4" w:space="0"/>
              <w:right w:val="single" w:color="000000" w:sz="4" w:space="0"/>
            </w:tcBorders>
            <w:noWrap w:val="0"/>
            <w:vAlign w:val="center"/>
          </w:tcPr>
          <w:p w14:paraId="3EA69A33">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纪律与职业素养 (30分)</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2AC722B2">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6</w:t>
            </w:r>
          </w:p>
        </w:tc>
        <w:tc>
          <w:tcPr>
            <w:tcW w:w="2266" w:type="pct"/>
            <w:gridSpan w:val="2"/>
            <w:tcBorders>
              <w:top w:val="single" w:color="000000" w:sz="4" w:space="0"/>
              <w:left w:val="single" w:color="000000" w:sz="4" w:space="0"/>
              <w:bottom w:val="single" w:color="000000" w:sz="4" w:space="0"/>
              <w:right w:val="single" w:color="000000" w:sz="4" w:space="0"/>
            </w:tcBorders>
            <w:noWrap w:val="0"/>
            <w:vAlign w:val="center"/>
          </w:tcPr>
          <w:p w14:paraId="399580B6">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考勤与在岗纪律：迟到、早退、擅自离岗、睡岗。</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14:paraId="497C69B5">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10</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439E7402">
            <w:pPr>
              <w:jc w:val="center"/>
              <w:rPr>
                <w:rFonts w:hint="eastAsia" w:ascii="宋体" w:hAnsi="宋体" w:eastAsia="宋体" w:cs="宋体"/>
                <w:b w:val="0"/>
                <w:bCs w:val="0"/>
                <w:i w:val="0"/>
                <w:iCs w:val="0"/>
                <w:color w:val="333333"/>
                <w:sz w:val="18"/>
                <w:szCs w:val="18"/>
                <w:u w:val="none"/>
              </w:rPr>
            </w:pPr>
          </w:p>
        </w:tc>
      </w:tr>
      <w:tr w14:paraId="1A8EC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61" w:type="pct"/>
            <w:vMerge w:val="continue"/>
            <w:tcBorders>
              <w:left w:val="single" w:color="000000" w:sz="4" w:space="0"/>
              <w:right w:val="single" w:color="000000" w:sz="4" w:space="0"/>
            </w:tcBorders>
            <w:noWrap w:val="0"/>
            <w:vAlign w:val="center"/>
          </w:tcPr>
          <w:p w14:paraId="69796541">
            <w:pPr>
              <w:jc w:val="center"/>
              <w:rPr>
                <w:rFonts w:hint="eastAsia" w:ascii="宋体" w:hAnsi="宋体" w:eastAsia="宋体" w:cs="宋体"/>
                <w:b w:val="0"/>
                <w:bCs w:val="0"/>
                <w:i w:val="0"/>
                <w:iCs w:val="0"/>
                <w:color w:val="333333"/>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BE2033E">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7</w:t>
            </w:r>
          </w:p>
        </w:tc>
        <w:tc>
          <w:tcPr>
            <w:tcW w:w="2266" w:type="pct"/>
            <w:gridSpan w:val="2"/>
            <w:tcBorders>
              <w:top w:val="single" w:color="000000" w:sz="4" w:space="0"/>
              <w:left w:val="single" w:color="000000" w:sz="4" w:space="0"/>
              <w:bottom w:val="single" w:color="000000" w:sz="4" w:space="0"/>
              <w:right w:val="single" w:color="000000" w:sz="4" w:space="0"/>
            </w:tcBorders>
            <w:noWrap w:val="0"/>
            <w:vAlign w:val="center"/>
          </w:tcPr>
          <w:p w14:paraId="3CFE886B">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仪容仪表与言行：着装不规范、仪容不整、值班时做私事。</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14:paraId="53E92A17">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10</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3698CB0C">
            <w:pPr>
              <w:jc w:val="center"/>
              <w:rPr>
                <w:rFonts w:hint="eastAsia" w:ascii="宋体" w:hAnsi="宋体" w:eastAsia="宋体" w:cs="宋体"/>
                <w:b w:val="0"/>
                <w:bCs w:val="0"/>
                <w:i w:val="0"/>
                <w:iCs w:val="0"/>
                <w:color w:val="333333"/>
                <w:sz w:val="18"/>
                <w:szCs w:val="18"/>
                <w:u w:val="none"/>
              </w:rPr>
            </w:pPr>
          </w:p>
        </w:tc>
      </w:tr>
      <w:tr w14:paraId="4975E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61" w:type="pct"/>
            <w:vMerge w:val="continue"/>
            <w:tcBorders>
              <w:left w:val="single" w:color="000000" w:sz="4" w:space="0"/>
              <w:bottom w:val="single" w:color="000000" w:sz="4" w:space="0"/>
              <w:right w:val="single" w:color="000000" w:sz="4" w:space="0"/>
            </w:tcBorders>
            <w:noWrap w:val="0"/>
            <w:vAlign w:val="center"/>
          </w:tcPr>
          <w:p w14:paraId="5388E705">
            <w:pPr>
              <w:jc w:val="center"/>
              <w:rPr>
                <w:rFonts w:hint="eastAsia" w:ascii="宋体" w:hAnsi="宋体" w:eastAsia="宋体" w:cs="宋体"/>
                <w:b w:val="0"/>
                <w:bCs w:val="0"/>
                <w:i w:val="0"/>
                <w:iCs w:val="0"/>
                <w:color w:val="333333"/>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FCC129C">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8</w:t>
            </w:r>
          </w:p>
        </w:tc>
        <w:tc>
          <w:tcPr>
            <w:tcW w:w="2266" w:type="pct"/>
            <w:gridSpan w:val="2"/>
            <w:tcBorders>
              <w:top w:val="single" w:color="000000" w:sz="4" w:space="0"/>
              <w:left w:val="single" w:color="000000" w:sz="4" w:space="0"/>
              <w:bottom w:val="single" w:color="000000" w:sz="4" w:space="0"/>
              <w:right w:val="single" w:color="000000" w:sz="4" w:space="0"/>
            </w:tcBorders>
            <w:noWrap w:val="0"/>
            <w:vAlign w:val="center"/>
          </w:tcPr>
          <w:p w14:paraId="75F69918">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规章制度遵守：违反公司其他明文规定（如吸烟、违规用电）</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14:paraId="24621C6C">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10</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08E839B1">
            <w:pPr>
              <w:jc w:val="center"/>
              <w:rPr>
                <w:rFonts w:hint="eastAsia" w:ascii="宋体" w:hAnsi="宋体" w:eastAsia="宋体" w:cs="宋体"/>
                <w:b w:val="0"/>
                <w:bCs w:val="0"/>
                <w:i w:val="0"/>
                <w:iCs w:val="0"/>
                <w:color w:val="333333"/>
                <w:sz w:val="18"/>
                <w:szCs w:val="18"/>
                <w:u w:val="none"/>
              </w:rPr>
            </w:pPr>
          </w:p>
        </w:tc>
      </w:tr>
      <w:tr w14:paraId="7606C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61" w:type="pct"/>
            <w:tcBorders>
              <w:top w:val="single" w:color="000000" w:sz="4" w:space="0"/>
              <w:left w:val="single" w:color="000000" w:sz="4" w:space="0"/>
              <w:bottom w:val="single" w:color="000000" w:sz="4" w:space="0"/>
              <w:right w:val="single" w:color="000000" w:sz="4" w:space="0"/>
            </w:tcBorders>
            <w:noWrap w:val="0"/>
            <w:vAlign w:val="center"/>
          </w:tcPr>
          <w:p w14:paraId="5CA46928">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加分项（额外奖励，不超过5分）</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DF65808">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9</w:t>
            </w:r>
          </w:p>
        </w:tc>
        <w:tc>
          <w:tcPr>
            <w:tcW w:w="2266" w:type="pct"/>
            <w:gridSpan w:val="2"/>
            <w:tcBorders>
              <w:top w:val="single" w:color="000000" w:sz="4" w:space="0"/>
              <w:left w:val="single" w:color="000000" w:sz="4" w:space="0"/>
              <w:bottom w:val="single" w:color="000000" w:sz="4" w:space="0"/>
              <w:right w:val="single" w:color="000000" w:sz="4" w:space="0"/>
            </w:tcBorders>
            <w:noWrap w:val="0"/>
            <w:vAlign w:val="center"/>
          </w:tcPr>
          <w:p w14:paraId="7EDA7AF8">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突出贡献：如避免安全事故、拾金不昧获表扬、提出合理化建议被采纳等。</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14:paraId="777CE2C0">
            <w:pPr>
              <w:keepNext w:val="0"/>
              <w:keepLines w:val="0"/>
              <w:widowControl/>
              <w:suppressLineNumbers w:val="0"/>
              <w:jc w:val="center"/>
              <w:textAlignment w:val="center"/>
              <w:rPr>
                <w:rFonts w:hint="eastAsia" w:ascii="宋体" w:hAnsi="宋体" w:eastAsia="宋体" w:cs="宋体"/>
                <w:b w:val="0"/>
                <w:bCs w:val="0"/>
                <w:i w:val="0"/>
                <w:iCs w:val="0"/>
                <w:color w:val="333333"/>
                <w:sz w:val="18"/>
                <w:szCs w:val="18"/>
                <w:u w:val="none"/>
              </w:rPr>
            </w:pPr>
            <w:r>
              <w:rPr>
                <w:rFonts w:hint="eastAsia" w:ascii="宋体" w:hAnsi="宋体" w:eastAsia="宋体" w:cs="宋体"/>
                <w:b w:val="0"/>
                <w:bCs w:val="0"/>
                <w:i w:val="0"/>
                <w:iCs w:val="0"/>
                <w:color w:val="333333"/>
                <w:kern w:val="0"/>
                <w:sz w:val="18"/>
                <w:szCs w:val="18"/>
                <w:u w:val="none"/>
                <w:lang w:val="en-US" w:eastAsia="zh-CN" w:bidi="ar"/>
              </w:rPr>
              <w:t>（+5）</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14:paraId="03B129FE">
            <w:pPr>
              <w:jc w:val="center"/>
              <w:rPr>
                <w:rFonts w:hint="eastAsia" w:ascii="宋体" w:hAnsi="宋体" w:eastAsia="宋体" w:cs="宋体"/>
                <w:b w:val="0"/>
                <w:bCs w:val="0"/>
                <w:i w:val="0"/>
                <w:iCs w:val="0"/>
                <w:color w:val="333333"/>
                <w:sz w:val="18"/>
                <w:szCs w:val="18"/>
                <w:u w:val="none"/>
              </w:rPr>
            </w:pPr>
          </w:p>
        </w:tc>
      </w:tr>
      <w:tr w14:paraId="596FB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3710" w:type="pct"/>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512A75">
            <w:pPr>
              <w:keepNext w:val="0"/>
              <w:keepLines w:val="0"/>
              <w:widowControl/>
              <w:suppressLineNumbers w:val="0"/>
              <w:jc w:val="right"/>
              <w:textAlignment w:val="center"/>
              <w:rPr>
                <w:rFonts w:hint="eastAsia" w:ascii="宋体" w:hAnsi="宋体" w:eastAsia="宋体" w:cs="宋体"/>
                <w:b/>
                <w:bCs/>
                <w:i w:val="0"/>
                <w:iCs w:val="0"/>
                <w:color w:val="333333"/>
                <w:sz w:val="18"/>
                <w:szCs w:val="18"/>
                <w:u w:val="none"/>
              </w:rPr>
            </w:pPr>
            <w:r>
              <w:rPr>
                <w:rFonts w:hint="eastAsia" w:ascii="宋体" w:hAnsi="宋体" w:eastAsia="宋体" w:cs="宋体"/>
                <w:b/>
                <w:bCs/>
                <w:i w:val="0"/>
                <w:iCs w:val="0"/>
                <w:color w:val="333333"/>
                <w:kern w:val="0"/>
                <w:sz w:val="18"/>
                <w:szCs w:val="18"/>
                <w:u w:val="none"/>
                <w:lang w:val="en-US" w:eastAsia="zh-CN" w:bidi="ar"/>
              </w:rPr>
              <w:t xml:space="preserve"> 合计总分：</w:t>
            </w:r>
          </w:p>
        </w:tc>
        <w:tc>
          <w:tcPr>
            <w:tcW w:w="1289"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F977BE">
            <w:pPr>
              <w:jc w:val="center"/>
              <w:rPr>
                <w:rFonts w:hint="eastAsia" w:ascii="宋体" w:hAnsi="宋体" w:eastAsia="宋体" w:cs="宋体"/>
                <w:b/>
                <w:bCs/>
                <w:i w:val="0"/>
                <w:iCs w:val="0"/>
                <w:color w:val="333333"/>
                <w:sz w:val="18"/>
                <w:szCs w:val="18"/>
                <w:u w:val="none"/>
              </w:rPr>
            </w:pPr>
          </w:p>
        </w:tc>
      </w:tr>
      <w:tr w14:paraId="20C77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16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C8BB94">
            <w:pPr>
              <w:keepNext w:val="0"/>
              <w:keepLines w:val="0"/>
              <w:widowControl/>
              <w:suppressLineNumbers w:val="0"/>
              <w:jc w:val="center"/>
              <w:textAlignment w:val="center"/>
              <w:rPr>
                <w:rFonts w:hint="eastAsia" w:ascii="宋体" w:hAnsi="宋体" w:eastAsia="宋体" w:cs="宋体"/>
                <w:b/>
                <w:bCs/>
                <w:i w:val="0"/>
                <w:iCs w:val="0"/>
                <w:color w:val="333333"/>
                <w:sz w:val="18"/>
                <w:szCs w:val="18"/>
                <w:u w:val="none"/>
              </w:rPr>
            </w:pPr>
            <w:r>
              <w:rPr>
                <w:rFonts w:hint="eastAsia" w:ascii="宋体" w:hAnsi="宋体" w:eastAsia="宋体" w:cs="宋体"/>
                <w:b/>
                <w:bCs/>
                <w:i w:val="0"/>
                <w:iCs w:val="0"/>
                <w:color w:val="333333"/>
                <w:kern w:val="0"/>
                <w:sz w:val="18"/>
                <w:szCs w:val="18"/>
                <w:u w:val="none"/>
                <w:lang w:val="en-US" w:eastAsia="zh-CN" w:bidi="ar"/>
              </w:rPr>
              <w:t>绩效等级评定：</w:t>
            </w:r>
          </w:p>
        </w:tc>
        <w:tc>
          <w:tcPr>
            <w:tcW w:w="2549"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7CBB7D">
            <w:pPr>
              <w:keepNext w:val="0"/>
              <w:keepLines w:val="0"/>
              <w:widowControl/>
              <w:suppressLineNumbers w:val="0"/>
              <w:jc w:val="center"/>
              <w:textAlignment w:val="center"/>
              <w:rPr>
                <w:rFonts w:hint="eastAsia" w:ascii="宋体" w:hAnsi="宋体" w:eastAsia="宋体" w:cs="宋体"/>
                <w:b/>
                <w:bCs/>
                <w:i w:val="0"/>
                <w:iCs w:val="0"/>
                <w:color w:val="333333"/>
                <w:sz w:val="18"/>
                <w:szCs w:val="18"/>
                <w:u w:val="none"/>
              </w:rPr>
            </w:pPr>
            <w:r>
              <w:rPr>
                <w:rFonts w:hint="eastAsia" w:ascii="宋体" w:hAnsi="宋体" w:eastAsia="宋体" w:cs="宋体"/>
                <w:b/>
                <w:bCs/>
                <w:i w:val="0"/>
                <w:iCs w:val="0"/>
                <w:color w:val="333333"/>
                <w:kern w:val="0"/>
                <w:sz w:val="18"/>
                <w:szCs w:val="18"/>
                <w:u w:val="none"/>
                <w:lang w:val="en-US" w:eastAsia="zh-CN" w:bidi="ar"/>
              </w:rPr>
              <w:t>优秀（A）：95分及以上良好（B）：85-94分合格</w:t>
            </w:r>
            <w:r>
              <w:rPr>
                <w:rFonts w:hint="eastAsia" w:ascii="宋体" w:hAnsi="宋体" w:eastAsia="宋体" w:cs="宋体"/>
                <w:b/>
                <w:bCs/>
                <w:i w:val="0"/>
                <w:iCs w:val="0"/>
                <w:color w:val="333333"/>
                <w:kern w:val="0"/>
                <w:sz w:val="18"/>
                <w:szCs w:val="18"/>
                <w:u w:val="none"/>
                <w:lang w:val="en-US" w:eastAsia="zh-CN" w:bidi="ar"/>
              </w:rPr>
              <w:br w:type="textWrapping"/>
            </w:r>
            <w:r>
              <w:rPr>
                <w:rFonts w:hint="eastAsia" w:ascii="宋体" w:hAnsi="宋体" w:eastAsia="宋体" w:cs="宋体"/>
                <w:b/>
                <w:bCs/>
                <w:i w:val="0"/>
                <w:iCs w:val="0"/>
                <w:color w:val="333333"/>
                <w:kern w:val="0"/>
                <w:sz w:val="18"/>
                <w:szCs w:val="18"/>
                <w:u w:val="none"/>
                <w:lang w:val="en-US" w:eastAsia="zh-CN" w:bidi="ar"/>
              </w:rPr>
              <w:t>（C）：75-84分待改进（D）：60-74分不合（E）：60分以下</w:t>
            </w:r>
          </w:p>
        </w:tc>
        <w:tc>
          <w:tcPr>
            <w:tcW w:w="1289"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523E11">
            <w:pPr>
              <w:jc w:val="left"/>
              <w:rPr>
                <w:rFonts w:hint="eastAsia" w:ascii="宋体" w:hAnsi="宋体" w:eastAsia="宋体" w:cs="宋体"/>
                <w:b/>
                <w:bCs/>
                <w:i w:val="0"/>
                <w:iCs w:val="0"/>
                <w:color w:val="333333"/>
                <w:sz w:val="18"/>
                <w:szCs w:val="18"/>
                <w:u w:val="none"/>
              </w:rPr>
            </w:pPr>
            <w:r>
              <w:rPr>
                <w:rFonts w:hint="eastAsia" w:ascii="宋体" w:hAnsi="宋体" w:eastAsia="宋体" w:cs="宋体"/>
                <w:b/>
                <w:bCs/>
                <w:i w:val="0"/>
                <w:iCs w:val="0"/>
                <w:color w:val="333333"/>
                <w:kern w:val="0"/>
                <w:sz w:val="18"/>
                <w:szCs w:val="18"/>
                <w:u w:val="none"/>
                <w:lang w:val="en-US" w:eastAsia="zh-CN" w:bidi="ar"/>
              </w:rPr>
              <w:t>本月评定等级：</w:t>
            </w:r>
          </w:p>
        </w:tc>
      </w:tr>
      <w:tr w14:paraId="79F19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0" w:hRule="atLeast"/>
          <w:jc w:val="center"/>
        </w:trPr>
        <w:tc>
          <w:tcPr>
            <w:tcW w:w="1161" w:type="pct"/>
            <w:tcBorders>
              <w:top w:val="single" w:color="000000" w:sz="4" w:space="0"/>
              <w:left w:val="single" w:color="000000" w:sz="4" w:space="0"/>
              <w:bottom w:val="single" w:color="000000" w:sz="4" w:space="0"/>
              <w:right w:val="single" w:color="000000" w:sz="4" w:space="0"/>
            </w:tcBorders>
            <w:shd w:val="clear" w:color="auto" w:fill="D9E1F4"/>
            <w:noWrap w:val="0"/>
            <w:vAlign w:val="center"/>
          </w:tcPr>
          <w:p w14:paraId="79834AC5">
            <w:pPr>
              <w:keepNext w:val="0"/>
              <w:keepLines w:val="0"/>
              <w:widowControl/>
              <w:suppressLineNumbers w:val="0"/>
              <w:jc w:val="center"/>
              <w:textAlignment w:val="center"/>
              <w:rPr>
                <w:rFonts w:hint="eastAsia" w:ascii="宋体" w:hAnsi="宋体" w:eastAsia="宋体" w:cs="宋体"/>
                <w:b/>
                <w:bCs/>
                <w:i w:val="0"/>
                <w:iCs w:val="0"/>
                <w:color w:val="333333"/>
                <w:sz w:val="18"/>
                <w:szCs w:val="18"/>
                <w:u w:val="none"/>
              </w:rPr>
            </w:pPr>
            <w:r>
              <w:rPr>
                <w:rFonts w:hint="eastAsia" w:ascii="宋体" w:hAnsi="宋体" w:eastAsia="宋体" w:cs="宋体"/>
                <w:b/>
                <w:bCs/>
                <w:i w:val="0"/>
                <w:iCs w:val="0"/>
                <w:color w:val="333333"/>
                <w:kern w:val="0"/>
                <w:sz w:val="18"/>
                <w:szCs w:val="18"/>
                <w:u w:val="none"/>
                <w:lang w:val="en-US" w:eastAsia="zh-CN" w:bidi="ar"/>
              </w:rPr>
              <w:t>绩效反馈与面谈要点（由考核人填写）：</w:t>
            </w:r>
          </w:p>
        </w:tc>
        <w:tc>
          <w:tcPr>
            <w:tcW w:w="3838" w:type="pct"/>
            <w:gridSpan w:val="5"/>
            <w:tcBorders>
              <w:top w:val="single" w:color="000000" w:sz="4" w:space="0"/>
              <w:left w:val="single" w:color="000000" w:sz="4" w:space="0"/>
              <w:bottom w:val="single" w:color="000000" w:sz="4" w:space="0"/>
              <w:right w:val="single" w:color="000000" w:sz="4" w:space="0"/>
            </w:tcBorders>
            <w:shd w:val="clear" w:color="auto" w:fill="D9E1F4"/>
            <w:noWrap w:val="0"/>
            <w:vAlign w:val="center"/>
          </w:tcPr>
          <w:p w14:paraId="17DD998F">
            <w:pPr>
              <w:keepNext w:val="0"/>
              <w:keepLines w:val="0"/>
              <w:widowControl/>
              <w:suppressLineNumbers w:val="0"/>
              <w:jc w:val="left"/>
              <w:textAlignment w:val="center"/>
              <w:rPr>
                <w:rFonts w:hint="eastAsia" w:ascii="宋体" w:hAnsi="宋体" w:eastAsia="宋体" w:cs="宋体"/>
                <w:i w:val="0"/>
                <w:iCs w:val="0"/>
                <w:color w:val="333333"/>
                <w:sz w:val="18"/>
                <w:szCs w:val="18"/>
                <w:u w:val="none"/>
              </w:rPr>
            </w:pPr>
            <w:r>
              <w:rPr>
                <w:rStyle w:val="8"/>
                <w:rFonts w:hint="eastAsia" w:ascii="宋体" w:hAnsi="宋体" w:eastAsia="宋体" w:cs="宋体"/>
                <w:sz w:val="18"/>
                <w:szCs w:val="18"/>
                <w:lang w:val="en-US" w:eastAsia="zh-CN" w:bidi="ar"/>
              </w:rPr>
              <w:t>主要优点：</w:t>
            </w:r>
            <w:r>
              <w:rPr>
                <w:rStyle w:val="9"/>
                <w:rFonts w:hint="eastAsia" w:ascii="宋体" w:hAnsi="宋体" w:eastAsia="宋体" w:cs="宋体"/>
                <w:sz w:val="18"/>
                <w:szCs w:val="18"/>
                <w:lang w:val="en-US" w:eastAsia="zh-CN" w:bidi="ar"/>
              </w:rPr>
              <w:t xml:space="preserve">                                                                                          </w:t>
            </w:r>
            <w:r>
              <w:rPr>
                <w:rStyle w:val="8"/>
                <w:rFonts w:hint="eastAsia" w:ascii="宋体" w:hAnsi="宋体" w:eastAsia="宋体" w:cs="宋体"/>
                <w:sz w:val="18"/>
                <w:szCs w:val="18"/>
                <w:lang w:val="en-US" w:eastAsia="zh-CN" w:bidi="ar"/>
              </w:rPr>
              <w:br w:type="textWrapping"/>
            </w:r>
            <w:r>
              <w:rPr>
                <w:rStyle w:val="8"/>
                <w:rFonts w:hint="eastAsia" w:ascii="宋体" w:hAnsi="宋体" w:eastAsia="宋体" w:cs="宋体"/>
                <w:sz w:val="18"/>
                <w:szCs w:val="18"/>
                <w:lang w:val="en-US" w:eastAsia="zh-CN" w:bidi="ar"/>
              </w:rPr>
              <w:br w:type="textWrapping"/>
            </w:r>
            <w:r>
              <w:rPr>
                <w:rStyle w:val="8"/>
                <w:rFonts w:hint="eastAsia" w:ascii="宋体" w:hAnsi="宋体" w:eastAsia="宋体" w:cs="宋体"/>
                <w:sz w:val="18"/>
                <w:szCs w:val="18"/>
                <w:lang w:val="en-US" w:eastAsia="zh-CN" w:bidi="ar"/>
              </w:rPr>
              <w:t>待改进事项：</w:t>
            </w:r>
            <w:r>
              <w:rPr>
                <w:rStyle w:val="9"/>
                <w:rFonts w:hint="eastAsia" w:ascii="宋体" w:hAnsi="宋体" w:eastAsia="宋体" w:cs="宋体"/>
                <w:sz w:val="18"/>
                <w:szCs w:val="18"/>
                <w:lang w:val="en-US" w:eastAsia="zh-CN" w:bidi="ar"/>
              </w:rPr>
              <w:t xml:space="preserve">                                                                                     </w:t>
            </w:r>
            <w:r>
              <w:rPr>
                <w:rStyle w:val="9"/>
                <w:rFonts w:hint="eastAsia" w:ascii="宋体" w:hAnsi="宋体" w:eastAsia="宋体" w:cs="宋体"/>
                <w:sz w:val="18"/>
                <w:szCs w:val="18"/>
                <w:lang w:val="en-US" w:eastAsia="zh-CN" w:bidi="ar"/>
              </w:rPr>
              <w:br w:type="textWrapping"/>
            </w:r>
            <w:r>
              <w:rPr>
                <w:rStyle w:val="8"/>
                <w:rFonts w:hint="eastAsia" w:ascii="宋体" w:hAnsi="宋体" w:eastAsia="宋体" w:cs="宋体"/>
                <w:sz w:val="18"/>
                <w:szCs w:val="18"/>
                <w:lang w:val="en-US" w:eastAsia="zh-CN" w:bidi="ar"/>
              </w:rPr>
              <w:br w:type="textWrapping"/>
            </w:r>
            <w:r>
              <w:rPr>
                <w:rStyle w:val="8"/>
                <w:rFonts w:hint="eastAsia" w:ascii="宋体" w:hAnsi="宋体" w:eastAsia="宋体" w:cs="宋体"/>
                <w:sz w:val="18"/>
                <w:szCs w:val="18"/>
                <w:lang w:val="en-US" w:eastAsia="zh-CN" w:bidi="ar"/>
              </w:rPr>
              <w:t>改进计划与建议：</w:t>
            </w:r>
            <w:r>
              <w:rPr>
                <w:rStyle w:val="9"/>
                <w:rFonts w:hint="eastAsia" w:ascii="宋体" w:hAnsi="宋体" w:eastAsia="宋体" w:cs="宋体"/>
                <w:sz w:val="18"/>
                <w:szCs w:val="18"/>
                <w:lang w:val="en-US" w:eastAsia="zh-CN" w:bidi="ar"/>
              </w:rPr>
              <w:t xml:space="preserve">                                                                              </w:t>
            </w:r>
          </w:p>
        </w:tc>
      </w:tr>
      <w:tr w14:paraId="1B2BF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2425" w:type="pct"/>
            <w:gridSpan w:val="3"/>
            <w:tcBorders>
              <w:top w:val="single" w:color="000000" w:sz="4" w:space="0"/>
              <w:left w:val="single" w:color="000000" w:sz="4" w:space="0"/>
              <w:bottom w:val="nil"/>
              <w:right w:val="single" w:color="000000" w:sz="4" w:space="0"/>
            </w:tcBorders>
            <w:shd w:val="clear" w:color="auto" w:fill="FFFFFF"/>
            <w:noWrap w:val="0"/>
            <w:vAlign w:val="center"/>
          </w:tcPr>
          <w:p w14:paraId="73B8AC1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被考核人签字：                   日期： </w:t>
            </w:r>
          </w:p>
        </w:tc>
        <w:tc>
          <w:tcPr>
            <w:tcW w:w="2574" w:type="pct"/>
            <w:gridSpan w:val="3"/>
            <w:tcBorders>
              <w:top w:val="single" w:color="000000" w:sz="4" w:space="0"/>
              <w:left w:val="single" w:color="000000" w:sz="4" w:space="0"/>
              <w:bottom w:val="nil"/>
              <w:right w:val="single" w:color="000000" w:sz="4" w:space="0"/>
            </w:tcBorders>
            <w:shd w:val="clear" w:color="auto" w:fill="FFFFFF"/>
            <w:noWrap w:val="0"/>
            <w:vAlign w:val="center"/>
          </w:tcPr>
          <w:p w14:paraId="594C8171">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被考核人签字：                          日期： </w:t>
            </w:r>
          </w:p>
        </w:tc>
      </w:tr>
      <w:tr w14:paraId="3B60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5000" w:type="pct"/>
            <w:gridSpan w:val="6"/>
            <w:tcBorders>
              <w:top w:val="single" w:color="000000" w:sz="8" w:space="0"/>
              <w:left w:val="single" w:color="000000" w:sz="8" w:space="0"/>
              <w:bottom w:val="single" w:color="000000" w:sz="4" w:space="0"/>
              <w:right w:val="single" w:color="000000" w:sz="4" w:space="0"/>
            </w:tcBorders>
            <w:shd w:val="clear" w:color="auto" w:fill="FFFFFF"/>
            <w:noWrap w:val="0"/>
            <w:vAlign w:val="top"/>
          </w:tcPr>
          <w:p w14:paraId="6212BD20">
            <w:pPr>
              <w:keepNext w:val="0"/>
              <w:keepLines w:val="0"/>
              <w:widowControl/>
              <w:suppressLineNumbers w:val="0"/>
              <w:jc w:val="left"/>
              <w:textAlignment w:val="top"/>
              <w:rPr>
                <w:rFonts w:hint="eastAsia" w:ascii="宋体" w:hAnsi="宋体" w:eastAsia="宋体" w:cs="宋体"/>
                <w:b/>
                <w:bCs/>
                <w:i w:val="0"/>
                <w:iCs w:val="0"/>
                <w:color w:val="000000"/>
                <w:sz w:val="11"/>
                <w:szCs w:val="11"/>
                <w:u w:val="none"/>
              </w:rPr>
            </w:pPr>
            <w:r>
              <w:rPr>
                <w:rFonts w:hint="eastAsia" w:ascii="宋体" w:hAnsi="宋体" w:eastAsia="宋体" w:cs="宋体"/>
                <w:b w:val="0"/>
                <w:bCs w:val="0"/>
                <w:i w:val="0"/>
                <w:iCs w:val="0"/>
                <w:color w:val="000000"/>
                <w:kern w:val="0"/>
                <w:sz w:val="18"/>
                <w:szCs w:val="18"/>
                <w:u w:val="none"/>
                <w:lang w:val="en-US" w:eastAsia="zh-CN" w:bidi="ar"/>
              </w:rPr>
              <w:t>解释说明：</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 xml:space="preserve">    1. 以上项目为扣分项，根据违规情况从该项总分中扣除。扣完为止，最低为0分。</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 xml:space="preserve">    2.“扣分”与“备注”栏：考核人需根据日常检查、监控抽查或事件记录，客观填写扣分分值，并在“备注”栏简要记录关键时间、事件，做到有据可查。“加分项”：需附简要说明或证明材料。</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 xml:space="preserve">    3. 考核绩效直接对应：</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 xml:space="preserve">       A/B级：全额发放绩效；C级：发放80%绩效；D级：发放50%绩效，并需制定书面改进计划；E级：无绩效，视情况给予警告或培训。</w:t>
            </w:r>
          </w:p>
        </w:tc>
      </w:tr>
    </w:tbl>
    <w:p w14:paraId="3C0AEEC9"/>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DA4D5">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6C609">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14:paraId="4856F3CE">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DDBBF">
    <w:pPr>
      <w:pStyle w:val="2"/>
    </w:pPr>
    <w:r>
      <w:rPr>
        <w:rFonts w:hint="eastAsia"/>
        <w:color w:val="365F91"/>
      </w:rPr>
      <w:t xml:space="preserve">  </w:t>
    </w:r>
  </w:p>
  <w:tbl>
    <w:tblPr>
      <w:tblStyle w:val="4"/>
      <w:tblpPr w:leftFromText="180" w:rightFromText="180" w:vertAnchor="page" w:horzAnchor="page" w:tblpX="1299" w:tblpY="15383"/>
      <w:tblOverlap w:val="never"/>
      <w:tblW w:w="0" w:type="auto"/>
      <w:tblInd w:w="0" w:type="dxa"/>
      <w:tblBorders>
        <w:top w:val="single" w:color="365F91" w:sz="8" w:space="0"/>
        <w:left w:val="none" w:color="auto" w:sz="0" w:space="0"/>
        <w:bottom w:val="none" w:color="auto" w:sz="0" w:space="0"/>
        <w:right w:val="none" w:color="auto" w:sz="0" w:space="0"/>
        <w:insideH w:val="none" w:color="auto" w:sz="0" w:space="0"/>
        <w:insideV w:val="none" w:color="auto" w:sz="0" w:space="0"/>
      </w:tblBorders>
      <w:tblLayout w:type="fixed"/>
      <w:tblCellMar>
        <w:top w:w="72" w:type="dxa"/>
        <w:left w:w="115" w:type="dxa"/>
        <w:bottom w:w="72" w:type="dxa"/>
        <w:right w:w="115" w:type="dxa"/>
      </w:tblCellMar>
    </w:tblPr>
    <w:tblGrid>
      <w:gridCol w:w="8881"/>
      <w:gridCol w:w="987"/>
    </w:tblGrid>
    <w:tr w14:paraId="0CCD10FF">
      <w:tblPrEx>
        <w:tblBorders>
          <w:top w:val="single" w:color="365F91" w:sz="8" w:space="0"/>
          <w:left w:val="none" w:color="auto" w:sz="0" w:space="0"/>
          <w:bottom w:val="none" w:color="auto" w:sz="0" w:space="0"/>
          <w:right w:val="none" w:color="auto" w:sz="0" w:space="0"/>
          <w:insideH w:val="none" w:color="auto" w:sz="0" w:space="0"/>
          <w:insideV w:val="none" w:color="auto" w:sz="0" w:space="0"/>
        </w:tblBorders>
        <w:tblCellMar>
          <w:top w:w="72" w:type="dxa"/>
          <w:left w:w="115" w:type="dxa"/>
          <w:bottom w:w="72" w:type="dxa"/>
          <w:right w:w="115" w:type="dxa"/>
        </w:tblCellMar>
      </w:tblPrEx>
      <w:trPr>
        <w:trHeight w:val="510" w:hRule="atLeast"/>
      </w:trPr>
      <w:tc>
        <w:tcPr>
          <w:tcW w:w="8881" w:type="dxa"/>
          <w:shd w:val="clear" w:color="auto" w:fill="auto"/>
          <w:noWrap w:val="0"/>
          <w:vAlign w:val="top"/>
        </w:tcPr>
        <w:p w14:paraId="317E44C0">
          <w:pPr>
            <w:pStyle w:val="2"/>
            <w:rPr>
              <w:rFonts w:ascii="Cambria" w:hAnsi="Cambria"/>
            </w:rPr>
          </w:pPr>
        </w:p>
      </w:tc>
      <w:tc>
        <w:tcPr>
          <w:tcW w:w="987" w:type="dxa"/>
          <w:shd w:val="clear" w:color="auto" w:fill="DBE5F1"/>
          <w:noWrap w:val="0"/>
          <w:vAlign w:val="top"/>
        </w:tcPr>
        <w:p w14:paraId="33DFBE64">
          <w:pPr>
            <w:rPr>
              <w:rFonts w:hint="default" w:ascii="Cambria" w:hAnsi="Cambria" w:eastAsia="宋体"/>
              <w:lang w:val="en-US" w:eastAsia="zh-CN"/>
            </w:rPr>
          </w:pPr>
          <w:r>
            <w:rPr>
              <w:rFonts w:hint="eastAsia" w:ascii="Cambria" w:hAnsi="Cambria"/>
              <w:lang w:val="en-US" w:eastAsia="zh-CN"/>
            </w:rPr>
            <w:t>10</w:t>
          </w:r>
          <w:r>
            <w:rPr>
              <w:rFonts w:ascii="Cambria" w:hAnsi="Cambria"/>
              <w:lang w:val="zh-CN"/>
            </w:rPr>
            <w:t xml:space="preserve"> / </w:t>
          </w:r>
          <w:r>
            <w:rPr>
              <w:rFonts w:hint="eastAsia" w:ascii="Cambria" w:hAnsi="Cambria"/>
              <w:lang w:val="en-US" w:eastAsia="zh-CN"/>
            </w:rPr>
            <w:t>10</w:t>
          </w:r>
        </w:p>
      </w:tc>
    </w:tr>
  </w:tbl>
  <w:p w14:paraId="42808579">
    <w:pPr>
      <w:pStyle w:val="2"/>
      <w:ind w:right="360"/>
    </w:pPr>
  </w:p>
  <w:p w14:paraId="78B70000">
    <w:pPr>
      <w:pStyle w:val="2"/>
      <w:ind w:right="360"/>
      <w:rPr>
        <w:rFonts w:hint="eastAsia"/>
      </w:rPr>
    </w:pPr>
  </w:p>
  <w:p w14:paraId="52F40EAA">
    <w:pPr>
      <w:pStyle w:val="2"/>
      <w:ind w:right="360"/>
      <w:rPr>
        <w:rFonts w:hint="eastAsia"/>
      </w:rPr>
    </w:pPr>
  </w:p>
  <w:p w14:paraId="5B2A8DF8">
    <w:pPr>
      <w:pStyle w:val="2"/>
      <w:ind w:right="360"/>
    </w:pPr>
  </w:p>
  <w:p w14:paraId="4C5FCE9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2AAA4">
    <w:pPr>
      <w:pStyle w:val="3"/>
      <w:pBdr>
        <w:bottom w:val="none" w:color="auto" w:sz="0" w:space="0"/>
      </w:pBdr>
      <w:tabs>
        <w:tab w:val="left" w:pos="2580"/>
        <w:tab w:val="left" w:pos="2985"/>
      </w:tabs>
      <w:spacing w:line="240" w:lineRule="auto"/>
      <w:jc w:val="left"/>
      <w:rPr>
        <w:rFonts w:hint="eastAsia"/>
        <w:b/>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F3ECB">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479AE"/>
    <w:rsid w:val="11E479AE"/>
    <w:rsid w:val="2A8460FC"/>
    <w:rsid w:val="79A44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character" w:customStyle="1" w:styleId="8">
    <w:name w:val="font61"/>
    <w:basedOn w:val="6"/>
    <w:qFormat/>
    <w:uiPriority w:val="0"/>
    <w:rPr>
      <w:rFonts w:hint="eastAsia" w:ascii="微软雅黑" w:hAnsi="微软雅黑" w:eastAsia="微软雅黑" w:cs="微软雅黑"/>
      <w:color w:val="333333"/>
      <w:sz w:val="22"/>
      <w:szCs w:val="22"/>
      <w:u w:val="none"/>
    </w:rPr>
  </w:style>
  <w:style w:type="character" w:customStyle="1" w:styleId="9">
    <w:name w:val="font112"/>
    <w:basedOn w:val="6"/>
    <w:qFormat/>
    <w:uiPriority w:val="0"/>
    <w:rPr>
      <w:rFonts w:hint="eastAsia" w:ascii="微软雅黑" w:hAnsi="微软雅黑" w:eastAsia="微软雅黑" w:cs="微软雅黑"/>
      <w:color w:val="333333"/>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5178</Words>
  <Characters>5278</Characters>
  <Lines>0</Lines>
  <Paragraphs>0</Paragraphs>
  <TotalTime>14</TotalTime>
  <ScaleCrop>false</ScaleCrop>
  <LinksUpToDate>false</LinksUpToDate>
  <CharactersWithSpaces>5803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2026-06-25T10:10:00Z</dcterms:created>
  <dc:creator>冬</dc:creator>
  <cp:lastModifiedBy>丶逍翛</cp:lastModifiedBy>
  <dcterms:modified xsi:type="dcterms:W3CDTF">2026-07-24T02:07:06Z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479CA8AADE50493D904A9EF0D9B154B3_13</vt:lpwstr>
  </property>
  <property fmtid="{D5CDD505-2E9C-101B-9397-08002B2CF9AE}" pid="4" name="KSOTemplateDocerSaveRecord">
    <vt:lpwstr>eyJoZGlkIjoiMmFiMjc5NTI1MWZkZDYzYTQzM2ZhYzVlYTcyNWQxZGEiLCJ1c2VySWQiOiIxMTIxODE5MjM4In0=</vt:lpwstr>
  </property>
</Properties>
</file>